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98" w:rsidRDefault="007D7098" w:rsidP="007D7098">
      <w:pPr>
        <w:spacing w:after="0" w:line="240" w:lineRule="auto"/>
        <w:jc w:val="center"/>
        <w:rPr>
          <w:b/>
          <w:i/>
          <w:color w:val="E36C09" w:themeColor="accent2"/>
          <w:sz w:val="28"/>
        </w:rPr>
      </w:pPr>
    </w:p>
    <w:p w:rsidR="00E629B0" w:rsidRPr="00E629B0" w:rsidRDefault="00E629B0" w:rsidP="00E629B0">
      <w:pPr>
        <w:jc w:val="center"/>
        <w:rPr>
          <w:b/>
          <w:i/>
          <w:color w:val="E36C09" w:themeColor="accent2"/>
          <w:sz w:val="28"/>
        </w:rPr>
      </w:pPr>
      <w:r w:rsidRPr="00E629B0">
        <w:rPr>
          <w:b/>
          <w:i/>
          <w:color w:val="E36C09" w:themeColor="accent2"/>
          <w:sz w:val="28"/>
        </w:rPr>
        <w:t>CONVOCATORIA DE INVESTIGACIÓN PARA LA EVALUACIÓN DE LA EDUCACIÓN</w:t>
      </w:r>
    </w:p>
    <w:p w:rsidR="00D16DE2" w:rsidRPr="003E2EEA" w:rsidRDefault="00E629B0" w:rsidP="00E629B0">
      <w:pPr>
        <w:jc w:val="center"/>
        <w:rPr>
          <w:color w:val="E36C09" w:themeColor="accent2"/>
        </w:rPr>
      </w:pPr>
      <w:r w:rsidRPr="00E629B0">
        <w:rPr>
          <w:b/>
          <w:i/>
          <w:color w:val="E36C09" w:themeColor="accent2"/>
          <w:sz w:val="28"/>
        </w:rPr>
        <w:t>CONACYT-INEE 2017- 1</w:t>
      </w:r>
    </w:p>
    <w:tbl>
      <w:tblPr>
        <w:tblStyle w:val="Listaclara-nfasis6"/>
        <w:tblW w:w="9659" w:type="dxa"/>
        <w:jc w:val="center"/>
        <w:tblBorders>
          <w:top w:val="single" w:sz="4" w:space="0" w:color="FF9933" w:themeColor="text2"/>
          <w:left w:val="single" w:sz="4" w:space="0" w:color="FF9933" w:themeColor="text2"/>
          <w:bottom w:val="single" w:sz="4" w:space="0" w:color="FF9933" w:themeColor="text2"/>
          <w:right w:val="single" w:sz="4" w:space="0" w:color="FF9933" w:themeColor="text2"/>
          <w:insideH w:val="single" w:sz="4" w:space="0" w:color="FF9933" w:themeColor="text2"/>
          <w:insideV w:val="single" w:sz="4" w:space="0" w:color="FF9933" w:themeColor="text2"/>
        </w:tblBorders>
        <w:tblLook w:val="04A0" w:firstRow="1" w:lastRow="0" w:firstColumn="1" w:lastColumn="0" w:noHBand="0" w:noVBand="1"/>
      </w:tblPr>
      <w:tblGrid>
        <w:gridCol w:w="1822"/>
        <w:gridCol w:w="2794"/>
        <w:gridCol w:w="2467"/>
        <w:gridCol w:w="2576"/>
      </w:tblGrid>
      <w:tr w:rsidR="0036606F" w:rsidRPr="00F03A1B" w:rsidTr="00133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vAlign w:val="center"/>
          </w:tcPr>
          <w:p w:rsidR="0036606F" w:rsidRPr="00F03A1B" w:rsidRDefault="00133CEA" w:rsidP="00F03A1B">
            <w:pPr>
              <w:jc w:val="center"/>
              <w:rPr>
                <w:b w:val="0"/>
                <w:color w:val="auto"/>
                <w:sz w:val="18"/>
              </w:rPr>
            </w:pPr>
            <w:r w:rsidRPr="00133CEA">
              <w:rPr>
                <w:color w:val="auto"/>
                <w:sz w:val="18"/>
              </w:rPr>
              <w:t>Fecha límite de recepción de pre</w:t>
            </w:r>
            <w:r>
              <w:rPr>
                <w:color w:val="auto"/>
                <w:sz w:val="18"/>
              </w:rPr>
              <w:t>-</w:t>
            </w:r>
            <w:r w:rsidRPr="00133CEA">
              <w:rPr>
                <w:color w:val="auto"/>
                <w:sz w:val="18"/>
              </w:rPr>
              <w:t>propuestas</w:t>
            </w:r>
          </w:p>
        </w:tc>
        <w:tc>
          <w:tcPr>
            <w:tcW w:w="2794" w:type="dxa"/>
            <w:vAlign w:val="center"/>
          </w:tcPr>
          <w:p w:rsidR="0036606F" w:rsidRPr="00F03A1B" w:rsidRDefault="00133CEA" w:rsidP="00F0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133CEA">
              <w:rPr>
                <w:color w:val="auto"/>
                <w:sz w:val="18"/>
              </w:rPr>
              <w:t>Publicación de resultados de pertinencia</w:t>
            </w:r>
          </w:p>
        </w:tc>
        <w:tc>
          <w:tcPr>
            <w:tcW w:w="2467" w:type="dxa"/>
            <w:vAlign w:val="center"/>
          </w:tcPr>
          <w:p w:rsidR="0036606F" w:rsidRPr="00F03A1B" w:rsidRDefault="00133CEA" w:rsidP="00366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133CEA">
              <w:rPr>
                <w:color w:val="auto"/>
                <w:sz w:val="18"/>
              </w:rPr>
              <w:t>Fecha límite de recepción de propuestas</w:t>
            </w:r>
          </w:p>
        </w:tc>
        <w:tc>
          <w:tcPr>
            <w:tcW w:w="2576" w:type="dxa"/>
            <w:vAlign w:val="center"/>
          </w:tcPr>
          <w:p w:rsidR="0036606F" w:rsidRPr="00F03A1B" w:rsidRDefault="00133CEA" w:rsidP="00366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133CEA">
              <w:rPr>
                <w:color w:val="auto"/>
                <w:sz w:val="18"/>
              </w:rPr>
              <w:t>Publicación de resultados finales</w:t>
            </w:r>
          </w:p>
        </w:tc>
      </w:tr>
      <w:tr w:rsidR="0036606F" w:rsidRPr="00F03A1B" w:rsidTr="0013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vAlign w:val="center"/>
          </w:tcPr>
          <w:p w:rsidR="0036606F" w:rsidRPr="00133CEA" w:rsidRDefault="00133CEA" w:rsidP="00F03A1B">
            <w:pPr>
              <w:jc w:val="center"/>
              <w:rPr>
                <w:sz w:val="18"/>
              </w:rPr>
            </w:pPr>
            <w:r w:rsidRPr="00133CEA">
              <w:rPr>
                <w:sz w:val="18"/>
              </w:rPr>
              <w:t xml:space="preserve">24 de febrero 2017 (19:00 </w:t>
            </w:r>
            <w:proofErr w:type="spellStart"/>
            <w:r w:rsidRPr="00133CEA">
              <w:rPr>
                <w:sz w:val="18"/>
              </w:rPr>
              <w:t>hrs</w:t>
            </w:r>
            <w:proofErr w:type="spellEnd"/>
            <w:r w:rsidRPr="00133CEA">
              <w:rPr>
                <w:sz w:val="18"/>
              </w:rPr>
              <w:t>. CST)</w:t>
            </w:r>
          </w:p>
        </w:tc>
        <w:tc>
          <w:tcPr>
            <w:tcW w:w="2794" w:type="dxa"/>
            <w:vAlign w:val="center"/>
          </w:tcPr>
          <w:p w:rsidR="0036606F" w:rsidRPr="00133CEA" w:rsidRDefault="00133CEA" w:rsidP="00366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33CEA">
              <w:rPr>
                <w:sz w:val="18"/>
              </w:rPr>
              <w:t>A más tardar el 30 de abril 2017</w:t>
            </w:r>
          </w:p>
        </w:tc>
        <w:tc>
          <w:tcPr>
            <w:tcW w:w="2467" w:type="dxa"/>
            <w:vAlign w:val="center"/>
          </w:tcPr>
          <w:p w:rsidR="0036606F" w:rsidRPr="00133CEA" w:rsidRDefault="00133CEA" w:rsidP="00F03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33CEA">
              <w:rPr>
                <w:sz w:val="18"/>
              </w:rPr>
              <w:t xml:space="preserve">02 de junio 2017 (19:00 </w:t>
            </w:r>
            <w:proofErr w:type="spellStart"/>
            <w:r w:rsidRPr="00133CEA">
              <w:rPr>
                <w:sz w:val="18"/>
              </w:rPr>
              <w:t>hrs</w:t>
            </w:r>
            <w:proofErr w:type="spellEnd"/>
            <w:r w:rsidRPr="00133CEA">
              <w:rPr>
                <w:sz w:val="18"/>
              </w:rPr>
              <w:t>. CST)</w:t>
            </w:r>
          </w:p>
        </w:tc>
        <w:tc>
          <w:tcPr>
            <w:tcW w:w="2576" w:type="dxa"/>
            <w:vAlign w:val="center"/>
          </w:tcPr>
          <w:p w:rsidR="0036606F" w:rsidRPr="00133CEA" w:rsidRDefault="00133CEA" w:rsidP="003660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33CEA">
              <w:rPr>
                <w:sz w:val="18"/>
              </w:rPr>
              <w:t>A más tardar el 30 de septiembre 2017</w:t>
            </w:r>
          </w:p>
        </w:tc>
      </w:tr>
    </w:tbl>
    <w:tbl>
      <w:tblPr>
        <w:tblStyle w:val="Tablaconcuadrcula"/>
        <w:tblW w:w="51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29"/>
      </w:tblGrid>
      <w:tr w:rsidR="006C683F" w:rsidRPr="00CB3893" w:rsidTr="00D721F6">
        <w:trPr>
          <w:trHeight w:val="866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F42CEB" w:rsidRDefault="00F42CEB" w:rsidP="00F42CEB">
            <w:pPr>
              <w:pStyle w:val="Ttulo1"/>
              <w:spacing w:before="0"/>
              <w:ind w:left="720"/>
              <w:outlineLvl w:val="0"/>
              <w:rPr>
                <w:color w:val="auto"/>
                <w:sz w:val="20"/>
                <w:szCs w:val="20"/>
              </w:rPr>
            </w:pPr>
          </w:p>
          <w:p w:rsidR="00F42CEB" w:rsidRPr="00F42CEB" w:rsidRDefault="00F42CEB" w:rsidP="00F42CEB"/>
          <w:p w:rsidR="0081727F" w:rsidRPr="009019A3" w:rsidRDefault="006C683F" w:rsidP="009019A3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D5EF3">
              <w:rPr>
                <w:color w:val="auto"/>
                <w:sz w:val="20"/>
                <w:szCs w:val="20"/>
              </w:rPr>
              <w:t>Público Objetivo</w:t>
            </w:r>
          </w:p>
        </w:tc>
      </w:tr>
      <w:tr w:rsidR="006C683F" w:rsidRPr="00CB3893" w:rsidTr="0081727F">
        <w:trPr>
          <w:trHeight w:val="1025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6C683F" w:rsidRPr="00F33767" w:rsidRDefault="00B503F1" w:rsidP="00CA098B">
            <w:pPr>
              <w:jc w:val="both"/>
              <w:rPr>
                <w:sz w:val="16"/>
              </w:rPr>
            </w:pPr>
            <w:r w:rsidRPr="00B503F1">
              <w:rPr>
                <w:sz w:val="18"/>
              </w:rPr>
              <w:t>A las instituciones de educación superior públicas y privadas, secretarías de educación de los estados, centros de investigación y desarrollo, organizaciones de la sociedad civil, empresas públicas y privadas y demás personas físicas y morales dedicadas a la investigación científica y al desarrollo tecnológico, que cuenten con una constancia de inscripción o preinscripción en el Registro Nacional de Instituciones y Empresas Científicas y Tecnológicas (RENIECYT), a presentar propuestas de investigación que respondan a las Demandas Específicas del Sector Evaluación de la Educación</w:t>
            </w:r>
            <w:r>
              <w:rPr>
                <w:sz w:val="18"/>
              </w:rPr>
              <w:t>.</w:t>
            </w:r>
          </w:p>
        </w:tc>
      </w:tr>
    </w:tbl>
    <w:p w:rsidR="00D16DE2" w:rsidRDefault="00D16DE2" w:rsidP="005F2BE2">
      <w:pPr>
        <w:spacing w:after="0" w:line="120" w:lineRule="auto"/>
      </w:pPr>
    </w:p>
    <w:p w:rsidR="00BC2559" w:rsidRDefault="00BC2559" w:rsidP="005F2BE2">
      <w:pPr>
        <w:spacing w:after="0" w:line="120" w:lineRule="auto"/>
      </w:pPr>
    </w:p>
    <w:tbl>
      <w:tblPr>
        <w:tblStyle w:val="Tablaconcuadrcula"/>
        <w:tblW w:w="51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31"/>
      </w:tblGrid>
      <w:tr w:rsidR="0081727F" w:rsidRPr="00CB3893" w:rsidTr="00A92020">
        <w:trPr>
          <w:trHeight w:val="454"/>
          <w:jc w:val="center"/>
        </w:trPr>
        <w:tc>
          <w:tcPr>
            <w:tcW w:w="4999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81727F" w:rsidRPr="005F2BE2" w:rsidRDefault="00B503F1" w:rsidP="00B503F1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Á</w:t>
            </w:r>
            <w:r w:rsidRPr="00B503F1">
              <w:rPr>
                <w:color w:val="auto"/>
                <w:sz w:val="20"/>
                <w:szCs w:val="20"/>
              </w:rPr>
              <w:t>reas temáticas prioritarias</w:t>
            </w:r>
          </w:p>
        </w:tc>
      </w:tr>
      <w:tr w:rsidR="0081727F" w:rsidRPr="00CB3893" w:rsidTr="00A92020">
        <w:trPr>
          <w:trHeight w:val="778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B503F1" w:rsidRPr="00B503F1" w:rsidRDefault="00B503F1" w:rsidP="00B503F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503F1">
              <w:rPr>
                <w:sz w:val="18"/>
                <w:szCs w:val="18"/>
              </w:rPr>
              <w:t>Evaluación de estudiantes y los resultados de aprendizaje.</w:t>
            </w:r>
          </w:p>
          <w:p w:rsidR="00B503F1" w:rsidRPr="00B503F1" w:rsidRDefault="00B503F1" w:rsidP="00B503F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503F1">
              <w:rPr>
                <w:sz w:val="18"/>
                <w:szCs w:val="18"/>
              </w:rPr>
              <w:t>Evaluación de docentes y de su desarrollo profesional.</w:t>
            </w:r>
          </w:p>
          <w:p w:rsidR="00B503F1" w:rsidRPr="00B503F1" w:rsidRDefault="00B503F1" w:rsidP="00B503F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503F1">
              <w:rPr>
                <w:sz w:val="18"/>
                <w:szCs w:val="18"/>
              </w:rPr>
              <w:t>Evaluación de procesos y estrategias para el funcionamiento de los centros escolares</w:t>
            </w:r>
          </w:p>
          <w:p w:rsidR="00B503F1" w:rsidRPr="00B503F1" w:rsidRDefault="00B503F1" w:rsidP="00B503F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503F1">
              <w:rPr>
                <w:sz w:val="18"/>
                <w:szCs w:val="18"/>
              </w:rPr>
              <w:t>Evaluación del Sistema Nacional de Evaluación Educativa, políticas y programas.</w:t>
            </w:r>
          </w:p>
          <w:p w:rsidR="00AA2226" w:rsidRPr="00B503F1" w:rsidRDefault="00B503F1" w:rsidP="00B503F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B503F1">
              <w:rPr>
                <w:sz w:val="18"/>
                <w:szCs w:val="18"/>
              </w:rPr>
              <w:t>Uso de tecnologías para el manejo de información de las evaluaciones educativas.</w:t>
            </w:r>
          </w:p>
        </w:tc>
      </w:tr>
    </w:tbl>
    <w:p w:rsidR="00D16DE2" w:rsidRDefault="00D16DE2" w:rsidP="005F2BE2">
      <w:pPr>
        <w:spacing w:after="0" w:line="120" w:lineRule="auto"/>
      </w:pPr>
    </w:p>
    <w:p w:rsidR="00BC2559" w:rsidRDefault="00BC2559" w:rsidP="005F2BE2">
      <w:pPr>
        <w:spacing w:after="0" w:line="120" w:lineRule="auto"/>
      </w:pPr>
    </w:p>
    <w:tbl>
      <w:tblPr>
        <w:tblStyle w:val="Tablaconcuadrcula"/>
        <w:tblW w:w="51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31"/>
      </w:tblGrid>
      <w:tr w:rsidR="006C683F" w:rsidRPr="00CB3893" w:rsidTr="00D721F6">
        <w:trPr>
          <w:trHeight w:val="303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</w:tcPr>
          <w:p w:rsidR="00435A25" w:rsidRPr="006D54BA" w:rsidRDefault="00166D2C" w:rsidP="00166D2C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166D2C">
              <w:rPr>
                <w:color w:val="auto"/>
                <w:sz w:val="20"/>
                <w:szCs w:val="20"/>
              </w:rPr>
              <w:t>MODALIDADES DE APOYO</w:t>
            </w:r>
          </w:p>
        </w:tc>
      </w:tr>
      <w:tr w:rsidR="006C683F" w:rsidRPr="00CB3893" w:rsidTr="002D085F">
        <w:trPr>
          <w:trHeight w:val="1165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166D2C" w:rsidRPr="00166D2C" w:rsidRDefault="00166D2C" w:rsidP="00166D2C">
            <w:pPr>
              <w:pStyle w:val="Prrafodelista"/>
              <w:numPr>
                <w:ilvl w:val="0"/>
                <w:numId w:val="20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166D2C">
              <w:rPr>
                <w:sz w:val="18"/>
                <w:szCs w:val="18"/>
              </w:rPr>
              <w:t>Básica: realizada con el objeto de generar nuevos conocimientos sobre los fundamentos de fenómenos y hechos observables, sin prever aplicación específica inmediata.</w:t>
            </w:r>
          </w:p>
          <w:p w:rsidR="00166D2C" w:rsidRPr="00166D2C" w:rsidRDefault="00166D2C" w:rsidP="00166D2C">
            <w:pPr>
              <w:pStyle w:val="Prrafodelista"/>
              <w:numPr>
                <w:ilvl w:val="0"/>
                <w:numId w:val="20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166D2C">
              <w:rPr>
                <w:sz w:val="18"/>
                <w:szCs w:val="18"/>
              </w:rPr>
              <w:t>Básica Orientada: realizada con el objeto de generar una base amplia de conocimientos que tengan la probabilidad de dar fundamentos para encontrar soluciones a problemas actualmente identificados o que se requiere aparezcan en el futuro.</w:t>
            </w:r>
          </w:p>
          <w:p w:rsidR="006C683F" w:rsidRPr="00166D2C" w:rsidRDefault="00166D2C" w:rsidP="00166D2C">
            <w:pPr>
              <w:pStyle w:val="Prrafodelista"/>
              <w:numPr>
                <w:ilvl w:val="0"/>
                <w:numId w:val="20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166D2C">
              <w:rPr>
                <w:sz w:val="18"/>
                <w:szCs w:val="18"/>
              </w:rPr>
              <w:t>Aplicada: realizada para la adquisición de nuevos conocimientos dirigida hacia un objetivo o fin práctico que responda a una demanda específica determinada.</w:t>
            </w:r>
          </w:p>
        </w:tc>
      </w:tr>
    </w:tbl>
    <w:p w:rsidR="006D54BA" w:rsidRDefault="006D54BA" w:rsidP="006D54BA">
      <w:pPr>
        <w:spacing w:after="0"/>
      </w:pPr>
    </w:p>
    <w:p w:rsidR="00BC2559" w:rsidRDefault="00BC2559" w:rsidP="006D54BA">
      <w:pPr>
        <w:spacing w:after="0"/>
      </w:pPr>
    </w:p>
    <w:tbl>
      <w:tblPr>
        <w:tblStyle w:val="Tablaconcuadrcula"/>
        <w:tblW w:w="51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31"/>
      </w:tblGrid>
      <w:tr w:rsidR="006D54BA" w:rsidRPr="00CB3893" w:rsidTr="006D54BA">
        <w:trPr>
          <w:trHeight w:val="454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6D54BA" w:rsidRPr="006D54BA" w:rsidRDefault="00166D2C" w:rsidP="006D54BA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503F1">
              <w:rPr>
                <w:color w:val="auto"/>
                <w:sz w:val="20"/>
                <w:szCs w:val="20"/>
              </w:rPr>
              <w:t>Presentación de pre</w:t>
            </w:r>
            <w:r>
              <w:rPr>
                <w:color w:val="auto"/>
                <w:sz w:val="20"/>
                <w:szCs w:val="20"/>
              </w:rPr>
              <w:t>-</w:t>
            </w:r>
            <w:r w:rsidRPr="00B503F1">
              <w:rPr>
                <w:color w:val="auto"/>
                <w:sz w:val="20"/>
                <w:szCs w:val="20"/>
              </w:rPr>
              <w:t>propuestas y propuestas</w:t>
            </w:r>
            <w:r w:rsidRPr="00DF2C07">
              <w:rPr>
                <w:color w:val="auto"/>
                <w:sz w:val="20"/>
                <w:szCs w:val="20"/>
              </w:rPr>
              <w:t xml:space="preserve"> </w:t>
            </w:r>
            <w:r w:rsidR="006D54BA" w:rsidRPr="00DF2C07">
              <w:rPr>
                <w:color w:val="auto"/>
                <w:sz w:val="20"/>
                <w:szCs w:val="20"/>
              </w:rPr>
              <w:t>Responsables del proyecto</w:t>
            </w:r>
          </w:p>
        </w:tc>
      </w:tr>
      <w:tr w:rsidR="006D54BA" w:rsidRPr="00CB3893" w:rsidTr="006D54BA">
        <w:trPr>
          <w:trHeight w:val="1168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166D2C" w:rsidRDefault="00166D2C" w:rsidP="00166D2C">
            <w:pPr>
              <w:pStyle w:val="Prrafodelista"/>
              <w:numPr>
                <w:ilvl w:val="0"/>
                <w:numId w:val="19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133CEA">
              <w:rPr>
                <w:sz w:val="18"/>
                <w:szCs w:val="18"/>
              </w:rPr>
              <w:t>Las pre</w:t>
            </w:r>
            <w:r>
              <w:rPr>
                <w:sz w:val="18"/>
                <w:szCs w:val="18"/>
              </w:rPr>
              <w:t>-</w:t>
            </w:r>
            <w:r w:rsidRPr="00133CEA">
              <w:rPr>
                <w:sz w:val="18"/>
                <w:szCs w:val="18"/>
              </w:rPr>
              <w:t xml:space="preserve">propuestas y propuestas completas deberán ser elaboradas de acuerdo a los </w:t>
            </w:r>
            <w:proofErr w:type="spellStart"/>
            <w:r w:rsidRPr="00133CEA">
              <w:rPr>
                <w:sz w:val="18"/>
                <w:szCs w:val="18"/>
              </w:rPr>
              <w:t>TdR</w:t>
            </w:r>
            <w:proofErr w:type="spellEnd"/>
            <w:r w:rsidRPr="00133CEA">
              <w:rPr>
                <w:sz w:val="18"/>
                <w:szCs w:val="18"/>
              </w:rPr>
              <w:t xml:space="preserve"> que forman parte de esta Convocatoria, disponibles en las páginas electrónicas www.conacyt.mx y www.inee.edu.mx y enviarse por internet vía el sistema de captura de propuestas del CONACYT</w:t>
            </w:r>
            <w:r>
              <w:rPr>
                <w:sz w:val="18"/>
                <w:szCs w:val="18"/>
              </w:rPr>
              <w:t xml:space="preserve">. </w:t>
            </w:r>
          </w:p>
          <w:p w:rsidR="006D54BA" w:rsidRPr="00166D2C" w:rsidRDefault="00166D2C" w:rsidP="00166D2C">
            <w:pPr>
              <w:pStyle w:val="Prrafodelista"/>
              <w:numPr>
                <w:ilvl w:val="0"/>
                <w:numId w:val="19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166D2C">
              <w:rPr>
                <w:sz w:val="18"/>
                <w:szCs w:val="18"/>
              </w:rPr>
              <w:t xml:space="preserve">Las propuestas deberán acompañarse de una carta de postulación institucional de conformidad con los </w:t>
            </w:r>
            <w:proofErr w:type="spellStart"/>
            <w:r w:rsidRPr="00166D2C">
              <w:rPr>
                <w:sz w:val="18"/>
                <w:szCs w:val="18"/>
              </w:rPr>
              <w:t>TdR</w:t>
            </w:r>
            <w:proofErr w:type="spellEnd"/>
            <w:r w:rsidR="006D54BA" w:rsidRPr="00166D2C">
              <w:rPr>
                <w:sz w:val="18"/>
                <w:szCs w:val="18"/>
              </w:rPr>
              <w:t xml:space="preserve"> </w:t>
            </w:r>
          </w:p>
        </w:tc>
      </w:tr>
    </w:tbl>
    <w:p w:rsidR="006D54BA" w:rsidRPr="00CB3893" w:rsidRDefault="006D54BA" w:rsidP="009303F4">
      <w:pPr>
        <w:spacing w:after="0"/>
        <w:jc w:val="both"/>
      </w:pPr>
    </w:p>
    <w:tbl>
      <w:tblPr>
        <w:tblStyle w:val="Tablaconcuadrcula"/>
        <w:tblW w:w="50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08"/>
      </w:tblGrid>
      <w:tr w:rsidR="006D54BA" w:rsidRPr="00435A25" w:rsidTr="00A92020">
        <w:trPr>
          <w:trHeight w:val="454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6D54BA" w:rsidRPr="009303F4" w:rsidRDefault="00005852" w:rsidP="00D70A8E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0"/>
                <w:szCs w:val="20"/>
              </w:rPr>
              <w:lastRenderedPageBreak/>
              <w:t>Demandas específicas del sector</w:t>
            </w:r>
          </w:p>
        </w:tc>
      </w:tr>
      <w:tr w:rsidR="006D54BA" w:rsidRPr="00F03A1B" w:rsidTr="009303F4">
        <w:trPr>
          <w:trHeight w:val="1177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6D54BA" w:rsidRDefault="006D54BA" w:rsidP="001E4F99">
            <w:pPr>
              <w:jc w:val="both"/>
              <w:rPr>
                <w:sz w:val="20"/>
              </w:rPr>
            </w:pPr>
          </w:p>
          <w:tbl>
            <w:tblPr>
              <w:tblStyle w:val="Listaclara-nfasis3"/>
              <w:tblW w:w="8504" w:type="dxa"/>
              <w:tblInd w:w="231" w:type="dxa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6D54BA" w:rsidRPr="00DF2C07" w:rsidTr="006D54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6D54BA" w:rsidRPr="00DF2C07" w:rsidRDefault="00005852" w:rsidP="001E4F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Área</w:t>
                  </w:r>
                </w:p>
              </w:tc>
              <w:tc>
                <w:tcPr>
                  <w:tcW w:w="4252" w:type="dxa"/>
                  <w:tcBorders>
                    <w:top w:val="single" w:sz="8" w:space="0" w:color="FF9933" w:themeColor="accent3"/>
                    <w:left w:val="single" w:sz="4" w:space="0" w:color="FF9933" w:themeColor="text2"/>
                    <w:bottom w:val="single" w:sz="8" w:space="0" w:color="FF9933" w:themeColor="accent3"/>
                  </w:tcBorders>
                </w:tcPr>
                <w:p w:rsidR="006D54BA" w:rsidRPr="00DF2C07" w:rsidRDefault="00005852" w:rsidP="001E4F9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Demanda</w:t>
                  </w:r>
                </w:p>
              </w:tc>
            </w:tr>
            <w:tr w:rsidR="006D54BA" w:rsidRPr="00DF2C07" w:rsidTr="006D54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6D54BA" w:rsidRPr="00C67D90" w:rsidRDefault="00005852" w:rsidP="004C376B">
                  <w:pPr>
                    <w:spacing w:before="240"/>
                    <w:rPr>
                      <w:b w:val="0"/>
                      <w:sz w:val="16"/>
                      <w:szCs w:val="16"/>
                    </w:rPr>
                  </w:pPr>
                  <w:r w:rsidRPr="00005852">
                    <w:rPr>
                      <w:b w:val="0"/>
                      <w:sz w:val="16"/>
                      <w:szCs w:val="16"/>
                    </w:rPr>
                    <w:t>ÁREA 1. EVALUACIÓN DE ESTUDIANTES Y LOS RESULTADOS DE APRENDIZAJE</w:t>
                  </w:r>
                </w:p>
              </w:tc>
              <w:tc>
                <w:tcPr>
                  <w:tcW w:w="4252" w:type="dxa"/>
                  <w:tcBorders>
                    <w:left w:val="single" w:sz="4" w:space="0" w:color="FF9933" w:themeColor="text2"/>
                  </w:tcBorders>
                </w:tcPr>
                <w:p w:rsidR="006D54BA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los aprendizajes de los estudiantes de educación</w:t>
                  </w:r>
                  <w:r>
                    <w:rPr>
                      <w:sz w:val="16"/>
                      <w:szCs w:val="16"/>
                    </w:rPr>
                    <w:t xml:space="preserve"> básica</w:t>
                  </w:r>
                </w:p>
                <w:p w:rsidR="00005852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los aprendizajes de los estudiantes de educación media superior</w:t>
                  </w:r>
                </w:p>
                <w:p w:rsidR="00005852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los aprendizajes de los alumnos en situación de vulnerabilidad</w:t>
                  </w:r>
                </w:p>
                <w:p w:rsidR="00005852" w:rsidRPr="00C67D90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Estudios sobre las trayectorias educativas de niños, niñas y jóvenes, así como de sus experiencias escolares</w:t>
                  </w:r>
                </w:p>
              </w:tc>
            </w:tr>
            <w:tr w:rsidR="006D54BA" w:rsidRPr="00DF2C07" w:rsidTr="006D54B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6D54BA" w:rsidRPr="00C67D90" w:rsidRDefault="00005852" w:rsidP="004C376B">
                  <w:pPr>
                    <w:spacing w:before="240"/>
                    <w:rPr>
                      <w:b w:val="0"/>
                      <w:sz w:val="16"/>
                      <w:szCs w:val="16"/>
                    </w:rPr>
                  </w:pPr>
                  <w:r w:rsidRPr="00005852">
                    <w:rPr>
                      <w:b w:val="0"/>
                      <w:sz w:val="16"/>
                      <w:szCs w:val="16"/>
                    </w:rPr>
                    <w:t>ÁREA 2. EVALUACIÓN DE DOCENTES Y DE SU DESARROLLO PROFESIONAL</w:t>
                  </w:r>
                </w:p>
              </w:tc>
              <w:tc>
                <w:tcPr>
                  <w:tcW w:w="4252" w:type="dxa"/>
                  <w:tcBorders>
                    <w:top w:val="single" w:sz="8" w:space="0" w:color="FF9933" w:themeColor="accent3"/>
                    <w:left w:val="single" w:sz="4" w:space="0" w:color="FF9933" w:themeColor="text2"/>
                    <w:bottom w:val="single" w:sz="8" w:space="0" w:color="FF9933" w:themeColor="accent3"/>
                  </w:tcBorders>
                </w:tcPr>
                <w:p w:rsidR="006D54BA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en el marco del Servicio Profesional Docente (SPD)</w:t>
                  </w:r>
                </w:p>
                <w:p w:rsidR="00005852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la formación inicial y continua de los docentes de educación básica</w:t>
                  </w:r>
                </w:p>
                <w:p w:rsidR="00005852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la formación continua de los docentes de educación media superior</w:t>
                  </w:r>
                </w:p>
                <w:p w:rsidR="00005852" w:rsidRPr="00C67D90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la práctica docente</w:t>
                  </w:r>
                </w:p>
              </w:tc>
            </w:tr>
            <w:tr w:rsidR="006D54BA" w:rsidRPr="00DF2C07" w:rsidTr="006D54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6D54BA" w:rsidRPr="00C67D90" w:rsidRDefault="00005852" w:rsidP="004C376B">
                  <w:pPr>
                    <w:spacing w:before="240"/>
                    <w:rPr>
                      <w:b w:val="0"/>
                      <w:sz w:val="16"/>
                      <w:szCs w:val="16"/>
                    </w:rPr>
                  </w:pPr>
                  <w:r w:rsidRPr="00005852">
                    <w:rPr>
                      <w:b w:val="0"/>
                      <w:sz w:val="16"/>
                      <w:szCs w:val="16"/>
                    </w:rPr>
                    <w:t>ÁREA 3. EVALUACIÓN DE PROCESOS Y ESTRATEGIAS PARA EL FUNCIONAMIENTO DE LOS CENTROS ESCOLARES</w:t>
                  </w:r>
                </w:p>
              </w:tc>
              <w:tc>
                <w:tcPr>
                  <w:tcW w:w="4252" w:type="dxa"/>
                  <w:tcBorders>
                    <w:left w:val="single" w:sz="4" w:space="0" w:color="FF9933" w:themeColor="text2"/>
                  </w:tcBorders>
                </w:tcPr>
                <w:p w:rsidR="006D54BA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interna de la escuela</w:t>
                  </w:r>
                </w:p>
                <w:p w:rsidR="00005852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centros escolares de educación básica</w:t>
                  </w:r>
                </w:p>
                <w:p w:rsidR="00005852" w:rsidRPr="00C67D90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centros escolares de educación media superior</w:t>
                  </w:r>
                </w:p>
              </w:tc>
            </w:tr>
            <w:tr w:rsidR="006D54BA" w:rsidRPr="00DF2C07" w:rsidTr="006D54B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6D54BA" w:rsidRPr="00C67D90" w:rsidRDefault="00005852" w:rsidP="004C376B">
                  <w:pPr>
                    <w:spacing w:before="240"/>
                    <w:rPr>
                      <w:b w:val="0"/>
                      <w:sz w:val="16"/>
                      <w:szCs w:val="16"/>
                    </w:rPr>
                  </w:pPr>
                  <w:r w:rsidRPr="00005852">
                    <w:rPr>
                      <w:b w:val="0"/>
                      <w:sz w:val="16"/>
                      <w:szCs w:val="16"/>
                    </w:rPr>
                    <w:t>ÁREA 4. EVALUACIÓN DEL SISTEMA NACIONAL DE EVALUACIÓN EDUCATIVA, POLÍTICAS Y PROGRAMAS</w:t>
                  </w:r>
                </w:p>
              </w:tc>
              <w:tc>
                <w:tcPr>
                  <w:tcW w:w="4252" w:type="dxa"/>
                  <w:tcBorders>
                    <w:top w:val="single" w:sz="8" w:space="0" w:color="FF9933" w:themeColor="accent3"/>
                    <w:left w:val="single" w:sz="4" w:space="0" w:color="FF9933" w:themeColor="text2"/>
                    <w:bottom w:val="single" w:sz="8" w:space="0" w:color="FF9933" w:themeColor="accent3"/>
                  </w:tcBorders>
                </w:tcPr>
                <w:p w:rsidR="006D54BA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del diseño e implementación de las políticas y programas educativos, a nivel federal y en los estados de la República.</w:t>
                  </w:r>
                </w:p>
                <w:p w:rsidR="00005852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del diseño e implementación de políticas de evaluación educativa a nivel federal y en los Estados de la República</w:t>
                  </w:r>
                </w:p>
                <w:p w:rsidR="00005852" w:rsidRPr="00C67D90" w:rsidRDefault="00005852" w:rsidP="000058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Evaluación de la formación, certificación y el desempeño de los evaluadores.</w:t>
                  </w:r>
                </w:p>
              </w:tc>
            </w:tr>
            <w:tr w:rsidR="00005852" w:rsidRPr="00DF2C07" w:rsidTr="006D54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52" w:type="dxa"/>
                  <w:tcBorders>
                    <w:right w:val="single" w:sz="4" w:space="0" w:color="FF9933" w:themeColor="text2"/>
                  </w:tcBorders>
                </w:tcPr>
                <w:p w:rsidR="00005852" w:rsidRPr="00005852" w:rsidRDefault="00005852" w:rsidP="004C376B">
                  <w:pPr>
                    <w:spacing w:before="240"/>
                    <w:rPr>
                      <w:b w:val="0"/>
                      <w:sz w:val="16"/>
                      <w:szCs w:val="16"/>
                    </w:rPr>
                  </w:pPr>
                  <w:r w:rsidRPr="00005852">
                    <w:rPr>
                      <w:b w:val="0"/>
                      <w:sz w:val="16"/>
                      <w:szCs w:val="16"/>
                    </w:rPr>
                    <w:t>ÁREA 5. USO DE TECNOLOGÍAS PARA EL MANEJO DE INFORMACIÓN DE LAS EVALUACIONES EDUCATIVAS</w:t>
                  </w:r>
                </w:p>
              </w:tc>
              <w:tc>
                <w:tcPr>
                  <w:tcW w:w="4252" w:type="dxa"/>
                  <w:tcBorders>
                    <w:left w:val="single" w:sz="4" w:space="0" w:color="FF9933" w:themeColor="text2"/>
                  </w:tcBorders>
                </w:tcPr>
                <w:p w:rsidR="00005852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Herramientas de gestión de información para la evaluación educativa y el uso de sus resultados</w:t>
                  </w:r>
                </w:p>
                <w:p w:rsidR="00005852" w:rsidRPr="00005852" w:rsidRDefault="00005852" w:rsidP="000058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005852">
                    <w:rPr>
                      <w:sz w:val="16"/>
                      <w:szCs w:val="16"/>
                    </w:rPr>
                    <w:t>Definición y construcción de sistemas con alineación sectorial y cultura institucional</w:t>
                  </w:r>
                </w:p>
              </w:tc>
            </w:tr>
          </w:tbl>
          <w:p w:rsidR="006D54BA" w:rsidRPr="00F03A1B" w:rsidRDefault="006D54BA" w:rsidP="001E4F99">
            <w:pPr>
              <w:rPr>
                <w:sz w:val="16"/>
              </w:rPr>
            </w:pPr>
          </w:p>
        </w:tc>
      </w:tr>
    </w:tbl>
    <w:p w:rsidR="001B45A5" w:rsidRDefault="001B45A5" w:rsidP="004C376B">
      <w:pPr>
        <w:spacing w:after="0"/>
        <w:jc w:val="both"/>
      </w:pPr>
    </w:p>
    <w:p w:rsidR="00BC2559" w:rsidRDefault="00BC2559" w:rsidP="004C376B">
      <w:pPr>
        <w:spacing w:after="0"/>
        <w:jc w:val="both"/>
      </w:pPr>
    </w:p>
    <w:tbl>
      <w:tblPr>
        <w:tblStyle w:val="Tablaconcuadrcula"/>
        <w:tblW w:w="512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034"/>
        <w:gridCol w:w="27"/>
      </w:tblGrid>
      <w:tr w:rsidR="00A92020" w:rsidRPr="00CB3893" w:rsidTr="00C309E5">
        <w:trPr>
          <w:trHeight w:val="454"/>
          <w:jc w:val="center"/>
        </w:trPr>
        <w:tc>
          <w:tcPr>
            <w:tcW w:w="5000" w:type="pct"/>
            <w:gridSpan w:val="2"/>
            <w:tcBorders>
              <w:top w:val="nil"/>
              <w:bottom w:val="single" w:sz="18" w:space="0" w:color="FF9933" w:themeColor="text2"/>
            </w:tcBorders>
            <w:vAlign w:val="center"/>
          </w:tcPr>
          <w:p w:rsidR="00A92020" w:rsidRPr="00A92020" w:rsidRDefault="00376841" w:rsidP="00D70A8E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T</w:t>
            </w:r>
            <w:r w:rsidRPr="00376841">
              <w:rPr>
                <w:color w:val="auto"/>
                <w:sz w:val="20"/>
                <w:szCs w:val="18"/>
              </w:rPr>
              <w:t>iempo de ejecución de los proyectos</w:t>
            </w:r>
          </w:p>
        </w:tc>
      </w:tr>
      <w:tr w:rsidR="00A92020" w:rsidRPr="00CB3893" w:rsidTr="00C309E5">
        <w:trPr>
          <w:trHeight w:val="1200"/>
          <w:jc w:val="center"/>
        </w:trPr>
        <w:tc>
          <w:tcPr>
            <w:tcW w:w="5000" w:type="pct"/>
            <w:gridSpan w:val="2"/>
            <w:tcBorders>
              <w:top w:val="single" w:sz="18" w:space="0" w:color="FF9933" w:themeColor="text2"/>
              <w:bottom w:val="nil"/>
            </w:tcBorders>
          </w:tcPr>
          <w:p w:rsidR="00A92020" w:rsidRDefault="00376841" w:rsidP="00376841">
            <w:pPr>
              <w:spacing w:after="160" w:line="259" w:lineRule="auto"/>
              <w:jc w:val="both"/>
              <w:rPr>
                <w:sz w:val="20"/>
              </w:rPr>
            </w:pPr>
            <w:r w:rsidRPr="00376841">
              <w:rPr>
                <w:sz w:val="20"/>
              </w:rPr>
              <w:t>La ejecución de las propuestas será como máximo de 12 meses en dos etapas de 6 meses cada una.</w:t>
            </w:r>
          </w:p>
          <w:p w:rsidR="004F6B22" w:rsidRDefault="00376841" w:rsidP="00376841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376841">
              <w:rPr>
                <w:sz w:val="18"/>
                <w:szCs w:val="18"/>
              </w:rPr>
              <w:t>La solicitud de prórroga procederá únicamente en una ocasión durante la ejecución del proyecto y no podrá ser mayor a 4 (cuatro) meses.</w:t>
            </w:r>
          </w:p>
          <w:p w:rsidR="004F6B22" w:rsidRDefault="004F6B22" w:rsidP="00376841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510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E36C09" w:themeColor="accent2"/>
                <w:insideV w:val="single" w:sz="12" w:space="0" w:color="E36C09" w:themeColor="accent2"/>
              </w:tblBorders>
              <w:tblLook w:val="04A0" w:firstRow="1" w:lastRow="0" w:firstColumn="1" w:lastColumn="0" w:noHBand="0" w:noVBand="1"/>
            </w:tblPr>
            <w:tblGrid>
              <w:gridCol w:w="9038"/>
            </w:tblGrid>
            <w:tr w:rsidR="004F6B22" w:rsidRPr="00CB3893" w:rsidTr="003F29CF">
              <w:trPr>
                <w:trHeight w:val="303"/>
                <w:jc w:val="center"/>
              </w:trPr>
              <w:tc>
                <w:tcPr>
                  <w:tcW w:w="5000" w:type="pct"/>
                  <w:tcBorders>
                    <w:top w:val="nil"/>
                    <w:bottom w:val="single" w:sz="18" w:space="0" w:color="FF9933" w:themeColor="text2"/>
                  </w:tcBorders>
                </w:tcPr>
                <w:p w:rsidR="004F6B22" w:rsidRPr="006D54BA" w:rsidRDefault="004F6B22" w:rsidP="00D70A8E">
                  <w:pPr>
                    <w:pStyle w:val="Ttulo1"/>
                    <w:numPr>
                      <w:ilvl w:val="0"/>
                      <w:numId w:val="9"/>
                    </w:numPr>
                    <w:spacing w:before="0"/>
                    <w:jc w:val="center"/>
                    <w:outlineLvl w:val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Liga de la convocatoria</w:t>
                  </w:r>
                </w:p>
              </w:tc>
            </w:tr>
            <w:tr w:rsidR="004F6B22" w:rsidRPr="00CB3893" w:rsidTr="00AB789B">
              <w:trPr>
                <w:trHeight w:val="955"/>
                <w:jc w:val="center"/>
              </w:trPr>
              <w:tc>
                <w:tcPr>
                  <w:tcW w:w="5000" w:type="pct"/>
                  <w:tcBorders>
                    <w:top w:val="single" w:sz="18" w:space="0" w:color="FF9933" w:themeColor="text2"/>
                    <w:bottom w:val="nil"/>
                  </w:tcBorders>
                </w:tcPr>
                <w:p w:rsidR="004F6B22" w:rsidRPr="004F6B22" w:rsidRDefault="00850EE0" w:rsidP="004F6B22">
                  <w:pPr>
                    <w:spacing w:line="216" w:lineRule="auto"/>
                    <w:jc w:val="both"/>
                    <w:rPr>
                      <w:sz w:val="18"/>
                      <w:szCs w:val="18"/>
                    </w:rPr>
                  </w:pPr>
                  <w:hyperlink r:id="rId8" w:history="1">
                    <w:r w:rsidR="004F6B22" w:rsidRPr="00CE7456">
                      <w:rPr>
                        <w:rStyle w:val="Hipervnculo"/>
                        <w:sz w:val="18"/>
                        <w:szCs w:val="18"/>
                      </w:rPr>
                      <w:t>http://www.conacyt.gob.mx/index.php/el-conacyt/convocatorias-y-resultados-conacyt/convocatorias-fondos-sectoriales-constituidos/convocatorias-conacyt-inee/convocatorias-abiertas-conacyt-inee/convocatoria-conacyt-inee-2017</w:t>
                    </w:r>
                  </w:hyperlink>
                </w:p>
              </w:tc>
            </w:tr>
          </w:tbl>
          <w:p w:rsidR="004F6B22" w:rsidRPr="00376841" w:rsidRDefault="004F6B22" w:rsidP="00376841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  <w:tr w:rsidR="00A92020" w:rsidRPr="00CB3893" w:rsidTr="00C309E5">
        <w:trPr>
          <w:gridAfter w:val="1"/>
          <w:wAfter w:w="15" w:type="pct"/>
          <w:trHeight w:val="454"/>
          <w:jc w:val="center"/>
        </w:trPr>
        <w:tc>
          <w:tcPr>
            <w:tcW w:w="4985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A92020" w:rsidRPr="00A92020" w:rsidRDefault="00A92020" w:rsidP="00D70A8E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F0122D">
              <w:rPr>
                <w:color w:val="auto"/>
                <w:sz w:val="20"/>
                <w:szCs w:val="20"/>
              </w:rPr>
              <w:t>Contacto</w:t>
            </w:r>
          </w:p>
        </w:tc>
      </w:tr>
      <w:tr w:rsidR="00A92020" w:rsidRPr="00CB3893" w:rsidTr="00C309E5">
        <w:trPr>
          <w:gridAfter w:val="1"/>
          <w:wAfter w:w="15" w:type="pct"/>
          <w:trHeight w:val="1177"/>
          <w:jc w:val="center"/>
        </w:trPr>
        <w:tc>
          <w:tcPr>
            <w:tcW w:w="4985" w:type="pct"/>
            <w:tcBorders>
              <w:top w:val="single" w:sz="18" w:space="0" w:color="FF9933" w:themeColor="text2"/>
              <w:bottom w:val="nil"/>
            </w:tcBorders>
          </w:tcPr>
          <w:p w:rsidR="00E871B7" w:rsidRPr="00133CEA" w:rsidRDefault="00133CEA" w:rsidP="00E871B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S</w:t>
            </w:r>
            <w:r w:rsidRPr="00133CEA">
              <w:rPr>
                <w:sz w:val="20"/>
              </w:rPr>
              <w:t>ecretario Administrativo M. en C. Enrique Lira (01 55) 5482-0900, ext. 74017 y a la Secretaría Técnica Mtra. Mireya Patiño (01 55) 53227700 ext. 4508 y 4516.</w:t>
            </w:r>
          </w:p>
          <w:p w:rsidR="00A92020" w:rsidRPr="00F33767" w:rsidRDefault="00A92020" w:rsidP="001E4F99">
            <w:pPr>
              <w:jc w:val="both"/>
              <w:rPr>
                <w:sz w:val="16"/>
              </w:rPr>
            </w:pPr>
          </w:p>
        </w:tc>
      </w:tr>
    </w:tbl>
    <w:p w:rsidR="00A92020" w:rsidRPr="00CB3893" w:rsidRDefault="00A92020" w:rsidP="008160E5">
      <w:pPr>
        <w:jc w:val="both"/>
      </w:pPr>
    </w:p>
    <w:sectPr w:rsidR="00A92020" w:rsidRPr="00CB3893" w:rsidSect="008F4EB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49" w:right="1701" w:bottom="567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E0" w:rsidRDefault="00850EE0" w:rsidP="00ED0B5A">
      <w:pPr>
        <w:spacing w:after="0" w:line="240" w:lineRule="auto"/>
      </w:pPr>
      <w:r>
        <w:separator/>
      </w:r>
    </w:p>
  </w:endnote>
  <w:endnote w:type="continuationSeparator" w:id="0">
    <w:p w:rsidR="00850EE0" w:rsidRDefault="00850EE0" w:rsidP="00ED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108" w:tblpY="1"/>
      <w:tblW w:w="4930" w:type="pct"/>
      <w:tblLook w:val="04A0" w:firstRow="1" w:lastRow="0" w:firstColumn="1" w:lastColumn="0" w:noHBand="0" w:noVBand="1"/>
    </w:tblPr>
    <w:tblGrid>
      <w:gridCol w:w="2443"/>
      <w:gridCol w:w="3829"/>
      <w:gridCol w:w="2442"/>
    </w:tblGrid>
    <w:tr w:rsidR="0053589F" w:rsidTr="008F4EBA">
      <w:trPr>
        <w:trHeight w:val="288"/>
      </w:trPr>
      <w:tc>
        <w:tcPr>
          <w:tcW w:w="1416" w:type="pct"/>
          <w:tcBorders>
            <w:bottom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69" w:type="pct"/>
          <w:vMerge w:val="restart"/>
          <w:noWrap/>
        </w:tcPr>
        <w:p w:rsidR="0053589F" w:rsidRPr="007E10EA" w:rsidRDefault="008F4EBA" w:rsidP="001E4F99">
          <w:pPr>
            <w:pStyle w:val="Sinespaciado"/>
            <w:jc w:val="cen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 wp14:anchorId="5B6EF508" wp14:editId="4ABB2A25">
                <wp:extent cx="1619250" cy="391674"/>
                <wp:effectExtent l="0" t="0" r="0" b="889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6" cy="393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589F" w:rsidRPr="007E10EA" w:rsidRDefault="0053589F" w:rsidP="001E4F99">
          <w:pPr>
            <w:pStyle w:val="Sinespaciado"/>
            <w:jc w:val="cen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  <w:r w:rsidRPr="007E10EA"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  <w:t>Contacto:</w:t>
          </w:r>
          <w:r w:rsidRPr="007E10EA">
            <w:rPr>
              <w:rFonts w:ascii="Segoe UI" w:hAnsi="Segoe UI" w:cs="Segoe UI"/>
              <w:color w:val="000000" w:themeColor="text1"/>
              <w:sz w:val="16"/>
              <w:szCs w:val="16"/>
            </w:rPr>
            <w:t xml:space="preserve"> </w:t>
          </w:r>
          <w:r w:rsidRPr="007E10EA">
            <w:rPr>
              <w:rStyle w:val="allowtextselection"/>
              <w:rFonts w:ascii="Segoe UI" w:hAnsi="Segoe UI" w:cs="Segoe UI"/>
              <w:color w:val="000000" w:themeColor="text1"/>
              <w:sz w:val="16"/>
              <w:szCs w:val="16"/>
            </w:rPr>
            <w:t>enlace.convocatorias@correo.cua.uam.mx</w:t>
          </w:r>
        </w:p>
      </w:tc>
      <w:tc>
        <w:tcPr>
          <w:tcW w:w="1415" w:type="pct"/>
          <w:tcBorders>
            <w:bottom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ptab w:relativeTo="margin" w:alignment="center" w:leader="none"/>
          </w:r>
        </w:p>
      </w:tc>
    </w:tr>
    <w:tr w:rsidR="0053589F" w:rsidTr="008F4EBA">
      <w:trPr>
        <w:trHeight w:val="545"/>
      </w:trPr>
      <w:tc>
        <w:tcPr>
          <w:tcW w:w="1416" w:type="pct"/>
          <w:tcBorders>
            <w:top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69" w:type="pct"/>
          <w:vMerge/>
        </w:tcPr>
        <w:p w:rsidR="0053589F" w:rsidRDefault="0053589F" w:rsidP="001E4F9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415" w:type="pct"/>
          <w:tcBorders>
            <w:top w:val="single" w:sz="4" w:space="0" w:color="FF9933" w:themeColor="accent1"/>
          </w:tcBorders>
        </w:tcPr>
        <w:p w:rsidR="0053589F" w:rsidRDefault="0053589F" w:rsidP="001E4F9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C0E93" w:rsidRDefault="008C0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E0" w:rsidRDefault="00850EE0" w:rsidP="00ED0B5A">
      <w:pPr>
        <w:spacing w:after="0" w:line="240" w:lineRule="auto"/>
      </w:pPr>
      <w:r>
        <w:separator/>
      </w:r>
    </w:p>
  </w:footnote>
  <w:footnote w:type="continuationSeparator" w:id="0">
    <w:p w:rsidR="00850EE0" w:rsidRDefault="00850EE0" w:rsidP="00ED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7" w:rsidRDefault="00850E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2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8" w:rsidRDefault="004C376B" w:rsidP="007D7098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 wp14:anchorId="09B92F8B" wp14:editId="20619A73">
          <wp:extent cx="1244602" cy="800100"/>
          <wp:effectExtent l="0" t="0" r="0" b="0"/>
          <wp:docPr id="8" name="Imagen 8" descr="http://www.desdelared.com.mx/noticias/2013/5-noticias/logos-triple-helice/LOGO%20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esdelared.com.mx/noticias/2013/5-noticias/logos-triple-helice/LOGO%20Conacy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21" cy="8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EE0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3" o:spid="_x0000_s2063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2" o:title="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5F" w:rsidRDefault="00850E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1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  <w:r w:rsidR="002D085F">
      <w:tab/>
    </w:r>
    <w:r w:rsidR="002D085F">
      <w:rPr>
        <w:noProof/>
        <w:lang w:eastAsia="es-MX"/>
      </w:rPr>
      <w:drawing>
        <wp:inline distT="0" distB="0" distL="0" distR="0" wp14:anchorId="094C990C" wp14:editId="5A981F66">
          <wp:extent cx="1141171" cy="733609"/>
          <wp:effectExtent l="0" t="0" r="1905" b="9525"/>
          <wp:docPr id="74" name="Imagen 74" descr="http://www.desdelared.com.mx/noticias/2013/5-noticias/logos-triple-helice/LOGO%20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esdelared.com.mx/noticias/2013/5-noticias/logos-triple-helice/LOGO%20Conacy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97" cy="73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6115"/>
      </v:shape>
    </w:pict>
  </w:numPicBullet>
  <w:abstractNum w:abstractNumId="0" w15:restartNumberingAfterBreak="0">
    <w:nsid w:val="010D0C9B"/>
    <w:multiLevelType w:val="hybridMultilevel"/>
    <w:tmpl w:val="712287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31D"/>
    <w:multiLevelType w:val="hybridMultilevel"/>
    <w:tmpl w:val="ED2C62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701"/>
    <w:multiLevelType w:val="hybridMultilevel"/>
    <w:tmpl w:val="6DF275B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CF6"/>
    <w:multiLevelType w:val="hybridMultilevel"/>
    <w:tmpl w:val="86F04B4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0C"/>
    <w:multiLevelType w:val="hybridMultilevel"/>
    <w:tmpl w:val="50F4351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5361"/>
    <w:multiLevelType w:val="hybridMultilevel"/>
    <w:tmpl w:val="2C2C13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705B"/>
    <w:multiLevelType w:val="hybridMultilevel"/>
    <w:tmpl w:val="6D140840"/>
    <w:lvl w:ilvl="0" w:tplc="0972D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04E"/>
    <w:multiLevelType w:val="hybridMultilevel"/>
    <w:tmpl w:val="183AEF5A"/>
    <w:lvl w:ilvl="0" w:tplc="3D8228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5DA7"/>
    <w:multiLevelType w:val="hybridMultilevel"/>
    <w:tmpl w:val="3E40A1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7A1B"/>
    <w:multiLevelType w:val="hybridMultilevel"/>
    <w:tmpl w:val="FDA2BAA2"/>
    <w:lvl w:ilvl="0" w:tplc="8FCADA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57200" w:themeColor="text2" w:themeShade="BF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41ED"/>
    <w:multiLevelType w:val="hybridMultilevel"/>
    <w:tmpl w:val="8D2C545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2EC0"/>
    <w:multiLevelType w:val="hybridMultilevel"/>
    <w:tmpl w:val="6AC0AB76"/>
    <w:lvl w:ilvl="0" w:tplc="3BF8F4F6">
      <w:start w:val="1"/>
      <w:numFmt w:val="lowerLetter"/>
      <w:lvlText w:val="%1)"/>
      <w:lvlJc w:val="left"/>
      <w:pPr>
        <w:ind w:left="720" w:hanging="360"/>
      </w:pPr>
      <w:rPr>
        <w:b/>
        <w:color w:val="FF9933" w:themeColor="accent6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59F"/>
    <w:multiLevelType w:val="hybridMultilevel"/>
    <w:tmpl w:val="C7AC9738"/>
    <w:lvl w:ilvl="0" w:tplc="8AE6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2DF5"/>
    <w:multiLevelType w:val="hybridMultilevel"/>
    <w:tmpl w:val="B2DAD5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AA2"/>
    <w:multiLevelType w:val="hybridMultilevel"/>
    <w:tmpl w:val="C1706236"/>
    <w:lvl w:ilvl="0" w:tplc="0972D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840"/>
    <w:multiLevelType w:val="hybridMultilevel"/>
    <w:tmpl w:val="D44286F2"/>
    <w:lvl w:ilvl="0" w:tplc="2B2E0D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7FB6"/>
    <w:multiLevelType w:val="hybridMultilevel"/>
    <w:tmpl w:val="71FEACE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D033101"/>
    <w:multiLevelType w:val="hybridMultilevel"/>
    <w:tmpl w:val="DB5281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67E2"/>
    <w:multiLevelType w:val="hybridMultilevel"/>
    <w:tmpl w:val="2BCCB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1487"/>
    <w:multiLevelType w:val="hybridMultilevel"/>
    <w:tmpl w:val="B64E8566"/>
    <w:lvl w:ilvl="0" w:tplc="3D8228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19"/>
  </w:num>
  <w:num w:numId="17">
    <w:abstractNumId w:val="17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7"/>
    <w:rsid w:val="00005852"/>
    <w:rsid w:val="00017666"/>
    <w:rsid w:val="000235FB"/>
    <w:rsid w:val="00033EA7"/>
    <w:rsid w:val="0005512F"/>
    <w:rsid w:val="0009229D"/>
    <w:rsid w:val="000D298C"/>
    <w:rsid w:val="000F0C13"/>
    <w:rsid w:val="00101C67"/>
    <w:rsid w:val="0010358C"/>
    <w:rsid w:val="00106339"/>
    <w:rsid w:val="001309A7"/>
    <w:rsid w:val="00133CEA"/>
    <w:rsid w:val="00140C88"/>
    <w:rsid w:val="00166D2C"/>
    <w:rsid w:val="00167CD9"/>
    <w:rsid w:val="00167F2D"/>
    <w:rsid w:val="001B45A5"/>
    <w:rsid w:val="001C1BE8"/>
    <w:rsid w:val="001E69A9"/>
    <w:rsid w:val="002222B2"/>
    <w:rsid w:val="00290E6F"/>
    <w:rsid w:val="002C22B8"/>
    <w:rsid w:val="002D085F"/>
    <w:rsid w:val="002E047B"/>
    <w:rsid w:val="0030617D"/>
    <w:rsid w:val="003623FE"/>
    <w:rsid w:val="0036551C"/>
    <w:rsid w:val="0036606F"/>
    <w:rsid w:val="00376841"/>
    <w:rsid w:val="003955A1"/>
    <w:rsid w:val="003F1070"/>
    <w:rsid w:val="003F1D4F"/>
    <w:rsid w:val="00402CFA"/>
    <w:rsid w:val="0041497F"/>
    <w:rsid w:val="00435A25"/>
    <w:rsid w:val="00442A1F"/>
    <w:rsid w:val="004549D5"/>
    <w:rsid w:val="004C376B"/>
    <w:rsid w:val="004F5895"/>
    <w:rsid w:val="004F6B22"/>
    <w:rsid w:val="00517222"/>
    <w:rsid w:val="0053589F"/>
    <w:rsid w:val="00584FE6"/>
    <w:rsid w:val="005A43BE"/>
    <w:rsid w:val="005C10D9"/>
    <w:rsid w:val="005F2BE2"/>
    <w:rsid w:val="0060106D"/>
    <w:rsid w:val="00635E7C"/>
    <w:rsid w:val="006415D9"/>
    <w:rsid w:val="006643C1"/>
    <w:rsid w:val="00685880"/>
    <w:rsid w:val="006C683F"/>
    <w:rsid w:val="006D54BA"/>
    <w:rsid w:val="006F3832"/>
    <w:rsid w:val="00721A29"/>
    <w:rsid w:val="00743B59"/>
    <w:rsid w:val="00771674"/>
    <w:rsid w:val="00776BDE"/>
    <w:rsid w:val="007940DE"/>
    <w:rsid w:val="007A044A"/>
    <w:rsid w:val="007D7098"/>
    <w:rsid w:val="007E10EA"/>
    <w:rsid w:val="008160E5"/>
    <w:rsid w:val="0081727F"/>
    <w:rsid w:val="00850EE0"/>
    <w:rsid w:val="0086529C"/>
    <w:rsid w:val="008A4521"/>
    <w:rsid w:val="008B3CBF"/>
    <w:rsid w:val="008C0E93"/>
    <w:rsid w:val="008D53A5"/>
    <w:rsid w:val="008E7500"/>
    <w:rsid w:val="008F2728"/>
    <w:rsid w:val="008F4EBA"/>
    <w:rsid w:val="009019A3"/>
    <w:rsid w:val="00917B44"/>
    <w:rsid w:val="009303F4"/>
    <w:rsid w:val="009428CA"/>
    <w:rsid w:val="009446B4"/>
    <w:rsid w:val="00964455"/>
    <w:rsid w:val="00973928"/>
    <w:rsid w:val="00984C63"/>
    <w:rsid w:val="00995D71"/>
    <w:rsid w:val="009A0EE3"/>
    <w:rsid w:val="009B5E14"/>
    <w:rsid w:val="009B6228"/>
    <w:rsid w:val="009C02C3"/>
    <w:rsid w:val="009C3F40"/>
    <w:rsid w:val="009C7F54"/>
    <w:rsid w:val="009F6339"/>
    <w:rsid w:val="00A31753"/>
    <w:rsid w:val="00A556EB"/>
    <w:rsid w:val="00A60F12"/>
    <w:rsid w:val="00A633C4"/>
    <w:rsid w:val="00A92020"/>
    <w:rsid w:val="00A97A1A"/>
    <w:rsid w:val="00AA2226"/>
    <w:rsid w:val="00AA7659"/>
    <w:rsid w:val="00AB789B"/>
    <w:rsid w:val="00AF0688"/>
    <w:rsid w:val="00B01137"/>
    <w:rsid w:val="00B2693F"/>
    <w:rsid w:val="00B32C38"/>
    <w:rsid w:val="00B359EB"/>
    <w:rsid w:val="00B503F1"/>
    <w:rsid w:val="00BC2559"/>
    <w:rsid w:val="00BD1057"/>
    <w:rsid w:val="00C2516F"/>
    <w:rsid w:val="00C309E5"/>
    <w:rsid w:val="00C5465E"/>
    <w:rsid w:val="00C72C37"/>
    <w:rsid w:val="00CA098B"/>
    <w:rsid w:val="00CA4439"/>
    <w:rsid w:val="00CB3893"/>
    <w:rsid w:val="00CB4E6B"/>
    <w:rsid w:val="00CB57C0"/>
    <w:rsid w:val="00CC52EC"/>
    <w:rsid w:val="00CD0508"/>
    <w:rsid w:val="00D16DE2"/>
    <w:rsid w:val="00D30CCD"/>
    <w:rsid w:val="00D70A8E"/>
    <w:rsid w:val="00D721F6"/>
    <w:rsid w:val="00DD3C6D"/>
    <w:rsid w:val="00DE019F"/>
    <w:rsid w:val="00DE02C2"/>
    <w:rsid w:val="00DE0FE2"/>
    <w:rsid w:val="00DE4E92"/>
    <w:rsid w:val="00E02217"/>
    <w:rsid w:val="00E07BE1"/>
    <w:rsid w:val="00E112CE"/>
    <w:rsid w:val="00E14BBB"/>
    <w:rsid w:val="00E451A3"/>
    <w:rsid w:val="00E629B0"/>
    <w:rsid w:val="00E871B7"/>
    <w:rsid w:val="00EB2209"/>
    <w:rsid w:val="00EC0BD1"/>
    <w:rsid w:val="00EC45C9"/>
    <w:rsid w:val="00EC7CB9"/>
    <w:rsid w:val="00ED0B5A"/>
    <w:rsid w:val="00EE2F6B"/>
    <w:rsid w:val="00F03A1B"/>
    <w:rsid w:val="00F135EA"/>
    <w:rsid w:val="00F30F27"/>
    <w:rsid w:val="00F42CEB"/>
    <w:rsid w:val="00F54596"/>
    <w:rsid w:val="00F8091D"/>
    <w:rsid w:val="00FB7254"/>
    <w:rsid w:val="00FE431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19CD584"/>
  <w15:docId w15:val="{E5096BC8-1C86-4E0F-8F34-617C81F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CEA"/>
  </w:style>
  <w:style w:type="paragraph" w:styleId="Ttulo1">
    <w:name w:val="heading 1"/>
    <w:basedOn w:val="Normal"/>
    <w:next w:val="Normal"/>
    <w:link w:val="Ttulo1Car"/>
    <w:uiPriority w:val="9"/>
    <w:qFormat/>
    <w:rsid w:val="00F0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57200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B3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3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1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057"/>
  </w:style>
  <w:style w:type="paragraph" w:styleId="Prrafodelista">
    <w:name w:val="List Paragraph"/>
    <w:basedOn w:val="Normal"/>
    <w:uiPriority w:val="34"/>
    <w:qFormat/>
    <w:rsid w:val="008A4521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D0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5A"/>
  </w:style>
  <w:style w:type="character" w:styleId="Hipervnculo">
    <w:name w:val="Hyperlink"/>
    <w:basedOn w:val="Fuentedeprrafopredeter"/>
    <w:uiPriority w:val="99"/>
    <w:unhideWhenUsed/>
    <w:rsid w:val="00D16DE2"/>
    <w:rPr>
      <w:color w:val="0000FF" w:themeColor="hyperlink"/>
      <w:u w:val="single"/>
    </w:rPr>
  </w:style>
  <w:style w:type="table" w:styleId="Listaclara-nfasis6">
    <w:name w:val="Light List Accent 6"/>
    <w:basedOn w:val="Tablanormal"/>
    <w:uiPriority w:val="61"/>
    <w:rsid w:val="00F03A1B"/>
    <w:pPr>
      <w:spacing w:after="0" w:line="240" w:lineRule="auto"/>
    </w:pPr>
    <w:tblPr>
      <w:tblStyleRowBandSize w:val="1"/>
      <w:tblStyleColBandSize w:val="1"/>
      <w:tblBorders>
        <w:top w:val="single" w:sz="8" w:space="0" w:color="FF9933" w:themeColor="accent6"/>
        <w:left w:val="single" w:sz="8" w:space="0" w:color="FF9933" w:themeColor="accent6"/>
        <w:bottom w:val="single" w:sz="8" w:space="0" w:color="FF9933" w:themeColor="accent6"/>
        <w:right w:val="single" w:sz="8" w:space="0" w:color="FF99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  <w:tblStylePr w:type="band1Horz">
      <w:tblPr/>
      <w:tcPr>
        <w:tcBorders>
          <w:top w:val="single" w:sz="8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03A1B"/>
    <w:rPr>
      <w:rFonts w:asciiTheme="majorHAnsi" w:eastAsiaTheme="majorEastAsia" w:hAnsiTheme="majorHAnsi" w:cstheme="majorBidi"/>
      <w:b/>
      <w:bCs/>
      <w:color w:val="E57200" w:themeColor="accent1" w:themeShade="BF"/>
      <w:sz w:val="28"/>
      <w:szCs w:val="28"/>
    </w:rPr>
  </w:style>
  <w:style w:type="table" w:styleId="Listaclara-nfasis3">
    <w:name w:val="Light List Accent 3"/>
    <w:basedOn w:val="Tablanormal"/>
    <w:uiPriority w:val="61"/>
    <w:rsid w:val="00F03A1B"/>
    <w:pPr>
      <w:spacing w:after="0" w:line="240" w:lineRule="auto"/>
    </w:pPr>
    <w:tblPr>
      <w:tblStyleRowBandSize w:val="1"/>
      <w:tblStyleColBandSize w:val="1"/>
      <w:tblBorders>
        <w:top w:val="single" w:sz="8" w:space="0" w:color="FF9933" w:themeColor="accent3"/>
        <w:left w:val="single" w:sz="8" w:space="0" w:color="FF9933" w:themeColor="accent3"/>
        <w:bottom w:val="single" w:sz="8" w:space="0" w:color="FF9933" w:themeColor="accent3"/>
        <w:right w:val="single" w:sz="8" w:space="0" w:color="FF99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  <w:tblStylePr w:type="band1Horz">
      <w:tblPr/>
      <w:tcPr>
        <w:tcBorders>
          <w:top w:val="single" w:sz="8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</w:style>
  <w:style w:type="paragraph" w:styleId="Sinespaciado">
    <w:name w:val="No Spacing"/>
    <w:link w:val="SinespaciadoCar"/>
    <w:uiPriority w:val="1"/>
    <w:qFormat/>
    <w:rsid w:val="00CB4E6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4E6B"/>
    <w:rPr>
      <w:rFonts w:eastAsiaTheme="minorEastAsia"/>
      <w:lang w:eastAsia="es-MX"/>
    </w:rPr>
  </w:style>
  <w:style w:type="character" w:customStyle="1" w:styleId="allowtextselection">
    <w:name w:val="allowtextselection"/>
    <w:basedOn w:val="Fuentedeprrafopredeter"/>
    <w:rsid w:val="00A9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/index.php/el-conacyt/convocatorias-y-resultados-conacyt/convocatorias-fondos-sectoriales-constituidos/convocatorias-conacyt-inee/convocatorias-abiertas-conacyt-inee/convocatoria-conacyt-inee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9933"/>
      </a:dk2>
      <a:lt2>
        <a:srgbClr val="FFFFFF"/>
      </a:lt2>
      <a:accent1>
        <a:srgbClr val="FF9933"/>
      </a:accent1>
      <a:accent2>
        <a:srgbClr val="E36C09"/>
      </a:accent2>
      <a:accent3>
        <a:srgbClr val="FF9933"/>
      </a:accent3>
      <a:accent4>
        <a:srgbClr val="C00000"/>
      </a:accent4>
      <a:accent5>
        <a:srgbClr val="000000"/>
      </a:accent5>
      <a:accent6>
        <a:srgbClr val="FF993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5358-2A53-4F90-93FA-5D12AAD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Alegria Mendez</dc:creator>
  <cp:lastModifiedBy>CPyV-A01</cp:lastModifiedBy>
  <cp:revision>13</cp:revision>
  <cp:lastPrinted>2017-01-24T16:27:00Z</cp:lastPrinted>
  <dcterms:created xsi:type="dcterms:W3CDTF">2017-01-23T14:59:00Z</dcterms:created>
  <dcterms:modified xsi:type="dcterms:W3CDTF">2017-01-24T16:34:00Z</dcterms:modified>
</cp:coreProperties>
</file>