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2E37A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2E37A2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2E37A2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2E37A2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2E37A2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2E37A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2E37A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E37A2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2E37A2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2E37A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2E37A2" w:rsidRDefault="00A90F43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TEORÍA DE LAS OBLIGACIONES</w:t>
            </w:r>
          </w:p>
        </w:tc>
        <w:tc>
          <w:tcPr>
            <w:tcW w:w="1587" w:type="dxa"/>
            <w:vAlign w:val="center"/>
          </w:tcPr>
          <w:p w:rsidR="00F40074" w:rsidRPr="002E37A2" w:rsidRDefault="00F40074" w:rsidP="0090044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90044A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2E37A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E37A2" w:rsidRDefault="00E67ED1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4214024</w:t>
            </w:r>
          </w:p>
        </w:tc>
        <w:tc>
          <w:tcPr>
            <w:tcW w:w="5102" w:type="dxa"/>
            <w:vMerge/>
            <w:vAlign w:val="center"/>
          </w:tcPr>
          <w:p w:rsidR="00F40074" w:rsidRPr="002E37A2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2E37A2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2E37A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E37A2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2E37A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2E37A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2E37A2" w:rsidRDefault="00F40074" w:rsidP="00EE367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EE367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421547" w:rsidRPr="002E37A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EE367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X</w:t>
            </w:r>
          </w:p>
        </w:tc>
      </w:tr>
      <w:tr w:rsidR="00F40074" w:rsidRPr="002E37A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E37A2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2E37A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2E37A2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2E37A2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2E37A2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2E37A2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2E37A2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2E37A2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2E37A2" w:rsidRDefault="008249FF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BJETIVO</w:t>
            </w: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GENERAL</w:t>
            </w: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445FDD" w:rsidRPr="002E37A2" w:rsidRDefault="00445FDD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2E37A2" w:rsidRDefault="00112077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conocer la </w:t>
            </w:r>
            <w:r w:rsidR="00F43ED6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naturaleza de las obligaciones, 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sus elementos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 fuentes de generación, modalidades, formas de transmisión y de extinción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2077" w:rsidRPr="002E37A2" w:rsidRDefault="0011207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Default="00512CF0" w:rsidP="00F43ED6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512CF0" w:rsidRPr="002E37A2" w:rsidRDefault="00512CF0" w:rsidP="00F43ED6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2" w:name="_GoBack"/>
            <w:bookmarkEnd w:id="2"/>
          </w:p>
          <w:p w:rsidR="00112077" w:rsidRPr="002E37A2" w:rsidRDefault="00112077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2E37A2" w:rsidRDefault="00112077" w:rsidP="00F43ED6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2E37A2" w:rsidRDefault="00112077" w:rsidP="00F43ED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fuentes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las obligaciones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con especial atención al contrato, la declaración unilateral de voluntad, el enriquecimiento ilegítimo, la gestión de negocios, los hechos ilícitos, el uso abusivo del 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y el riesgo creado. </w:t>
            </w:r>
          </w:p>
          <w:p w:rsidR="00112077" w:rsidRPr="002E37A2" w:rsidRDefault="00112077" w:rsidP="00F43ED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</w:t>
            </w:r>
            <w:r w:rsidR="007500BB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modalidades de las obligaciones, es decir, condicionales, a plazo, simples y complejas y divisibles e indivisibles, así como su transmisión y los efectos de las mismas, con especial énfasis en la extinción de la propia obligación. </w:t>
            </w:r>
          </w:p>
          <w:p w:rsidR="00112077" w:rsidRPr="002E37A2" w:rsidRDefault="00112077" w:rsidP="00F43ED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CF1578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naturaleza de la obligación, sus fuentes, sus modalidades y su extinción. </w:t>
            </w:r>
          </w:p>
          <w:p w:rsidR="00112077" w:rsidRPr="002E37A2" w:rsidRDefault="00112077" w:rsidP="00F43ED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autoaprendizaje, a través de la evaluación de los procesos y las soluciones a un problema determinado.</w:t>
            </w:r>
          </w:p>
          <w:p w:rsidR="00445FDD" w:rsidRPr="002E37A2" w:rsidRDefault="00445FDD" w:rsidP="00F43ED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hAnsi="Arial" w:cs="Arial"/>
                <w:sz w:val="20"/>
                <w:szCs w:val="20"/>
              </w:rPr>
              <w:t xml:space="preserve">5. Manejar las fuentes jurídicas con apoyo en las </w:t>
            </w:r>
            <w:r w:rsidR="00512CF0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2E37A2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</w:t>
            </w:r>
            <w:r w:rsidR="003135DF">
              <w:rPr>
                <w:rFonts w:ascii="Arial" w:hAnsi="Arial" w:cs="Arial"/>
                <w:sz w:val="20"/>
                <w:szCs w:val="20"/>
              </w:rPr>
              <w:t xml:space="preserve"> en materia civil</w:t>
            </w:r>
            <w:r w:rsidRPr="002E37A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2E37A2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112077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F43ED6" w:rsidRPr="00F70ED9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83" w:rsidRPr="00F70ED9" w:rsidRDefault="00F70483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E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La </w:t>
            </w:r>
            <w:r w:rsidR="00F43ED6" w:rsidRPr="00F70E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</w:t>
            </w:r>
            <w:r w:rsidRPr="00F70ED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bligación en el Derecho.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Concepto, estructura, elementos de la obligación</w:t>
            </w:r>
            <w:r w:rsidR="00F43ED6"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Obligaciones sujetas a condición o término. 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obligación sujeta a modo o carga. </w:t>
            </w:r>
          </w:p>
          <w:p w:rsidR="00F70483" w:rsidRPr="002E37A2" w:rsidRDefault="00F43ED6" w:rsidP="00F43ED6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 w:rsidR="003135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obligaciones naturales.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83" w:rsidRPr="00F70ED9" w:rsidRDefault="00F70483" w:rsidP="00F70483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2. Principales</w:t>
            </w:r>
            <w:r w:rsidR="00F43ED6" w:rsidRPr="00F70ED9">
              <w:rPr>
                <w:rFonts w:ascii="Arial" w:eastAsia="Calibri" w:hAnsi="Arial" w:cs="Arial"/>
                <w:b/>
                <w:sz w:val="20"/>
                <w:szCs w:val="20"/>
              </w:rPr>
              <w:t xml:space="preserve"> f</w:t>
            </w: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 xml:space="preserve">uentes del Derecho de las </w:t>
            </w:r>
            <w:r w:rsidR="00F43ED6" w:rsidRPr="00F70ED9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bligaciones.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El contrato. Sus efectos y la teoría de la imprevisión. 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declaración unilateral de la voluntad. </w:t>
            </w:r>
          </w:p>
          <w:p w:rsidR="00F70483" w:rsidRPr="002E37A2" w:rsidRDefault="00F70483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El enriquecimiento ilegítimo y el pago de lo indebido. </w:t>
            </w:r>
          </w:p>
          <w:p w:rsidR="00F70483" w:rsidRPr="002E37A2" w:rsidRDefault="00F70483" w:rsidP="00DF362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gestión de negocios ajenos.</w:t>
            </w:r>
          </w:p>
        </w:tc>
      </w:tr>
    </w:tbl>
    <w:p w:rsidR="00F40074" w:rsidRPr="002E37A2" w:rsidRDefault="00F40074">
      <w:pPr>
        <w:rPr>
          <w:rFonts w:ascii="Arial" w:hAnsi="Arial" w:cs="Arial"/>
          <w:sz w:val="20"/>
          <w:szCs w:val="20"/>
        </w:rPr>
      </w:pPr>
      <w:r w:rsidRPr="002E37A2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2E37A2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2E37A2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2E37A2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2E37A2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2E37A2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67ED1">
              <w:rPr>
                <w:rFonts w:ascii="Arial" w:eastAsia="Calibri" w:hAnsi="Arial" w:cs="Arial"/>
                <w:b/>
                <w:sz w:val="20"/>
                <w:szCs w:val="20"/>
              </w:rPr>
              <w:t>4214024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2E37A2" w:rsidRDefault="00A90F43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TEORÍA DE LAS OBLIGACIONES</w:t>
            </w:r>
          </w:p>
        </w:tc>
      </w:tr>
      <w:tr w:rsidR="005446E2" w:rsidRPr="002E37A2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2E37A2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2E37A2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2E37A2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2.5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Los hechos ilícitos.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2.6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El uso abusivo del derecho.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2.7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El riesgo creado.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2.8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Los daños ocasionados por animales, por cosas o por dependientes del obligado.</w:t>
            </w:r>
          </w:p>
          <w:p w:rsidR="00F43ED6" w:rsidRPr="002E37A2" w:rsidRDefault="00F43ED6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43ED6" w:rsidRPr="00F70ED9" w:rsidRDefault="00F43ED6" w:rsidP="00F43ED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3. Obligaciones especiales.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En atención a los sujetos.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3.1.1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mancomunidad.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3.1.2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solidaridad.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3.1.3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indivisibilidad.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3.1.4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</w:t>
            </w:r>
            <w:proofErr w:type="spellStart"/>
            <w:r w:rsidRPr="002E37A2">
              <w:rPr>
                <w:rFonts w:ascii="Arial" w:eastAsia="Calibri" w:hAnsi="Arial" w:cs="Arial"/>
                <w:sz w:val="20"/>
                <w:szCs w:val="20"/>
              </w:rPr>
              <w:t>disyuntividad</w:t>
            </w:r>
            <w:proofErr w:type="spellEnd"/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En consideración al objeto: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3.2.1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Obligaciones conjuntivas.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3.2.2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Obligaciones alternativas.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3.2.3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Obligaciones facultativas.</w:t>
            </w:r>
          </w:p>
          <w:p w:rsidR="00F43ED6" w:rsidRPr="002E37A2" w:rsidRDefault="00F43ED6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43ED6" w:rsidRPr="00F70ED9" w:rsidRDefault="00F43ED6" w:rsidP="00F43ED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4. Efecto principal de las obligaciones. El pago.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¿Qué se paga?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¿Cómo se paga?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Tiempo del pago.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¿Dónde se paga? Gastos.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4.5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¿Cómo se aplica el pago?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4.6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¿Quién puede pagar?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4.6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¿A quién se debe pagar?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4.7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Presunción de haber pagado.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4.8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¿Con qué se paga?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4.9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Ofrecimiento de pago y consignación.</w:t>
            </w:r>
          </w:p>
          <w:p w:rsidR="00F43ED6" w:rsidRPr="002E37A2" w:rsidRDefault="00F43ED6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43ED6" w:rsidRPr="00F70ED9" w:rsidRDefault="00F43ED6" w:rsidP="00F43ED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5. Efectos del incumplimiento de las obligaciones.</w:t>
            </w:r>
          </w:p>
          <w:p w:rsidR="00F43ED6" w:rsidRPr="002E37A2" w:rsidRDefault="00F43ED6" w:rsidP="00F43ED6">
            <w:pPr>
              <w:pStyle w:val="Sinespaciado"/>
              <w:ind w:left="615" w:hanging="388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Derechos de la víctima de un hecho ilícito, cuando se viola un deber jurídico, un contrato o una declaración unilateral de voluntad.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Embargo, remate y adjudicación.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Acción oblicua.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Acción </w:t>
            </w:r>
            <w:proofErr w:type="spellStart"/>
            <w:r w:rsidRPr="002E37A2">
              <w:rPr>
                <w:rFonts w:ascii="Arial" w:eastAsia="Calibri" w:hAnsi="Arial" w:cs="Arial"/>
                <w:sz w:val="20"/>
                <w:szCs w:val="20"/>
              </w:rPr>
              <w:t>pauliana</w:t>
            </w:r>
            <w:proofErr w:type="spellEnd"/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Ac</w:t>
            </w:r>
            <w:r w:rsidR="002E37A2">
              <w:rPr>
                <w:rFonts w:ascii="Arial" w:eastAsia="Calibri" w:hAnsi="Arial" w:cs="Arial"/>
                <w:sz w:val="20"/>
                <w:szCs w:val="20"/>
              </w:rPr>
              <w:t>ción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contra la simulación.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5.1.5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Saneamiento por evicción.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5.1.6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Saneamiento por vicios ocultos.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5.1.7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Resolución de las obligaciones.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5.1.8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Derecho de retención.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Responsabilidad subjetiva. Clases de indemnización. Compensatoria y moratoria.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5.3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Responsabilidad objetiva. Riesgo creado y siniestro.</w:t>
            </w:r>
          </w:p>
          <w:p w:rsidR="00F43ED6" w:rsidRPr="002E37A2" w:rsidRDefault="00F43ED6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345DC" w:rsidRPr="00F70ED9" w:rsidRDefault="002345DC" w:rsidP="002345DC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6. Principales formas de transmisión de las obligaciones.</w:t>
            </w:r>
          </w:p>
          <w:p w:rsidR="002345DC" w:rsidRPr="002E37A2" w:rsidRDefault="002345DC" w:rsidP="002345DC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6.1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Cesión de derechos. </w:t>
            </w:r>
          </w:p>
          <w:p w:rsidR="002345DC" w:rsidRPr="002E37A2" w:rsidRDefault="002345DC" w:rsidP="002345DC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6.2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Subrogación. </w:t>
            </w:r>
          </w:p>
          <w:p w:rsidR="002345DC" w:rsidRPr="002E37A2" w:rsidRDefault="002345DC" w:rsidP="002345DC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6.3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Asunción de deudas. </w:t>
            </w:r>
          </w:p>
          <w:p w:rsidR="002345DC" w:rsidRPr="002E37A2" w:rsidRDefault="002345DC" w:rsidP="002345DC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6.4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Gestión de negocios ajenos. </w:t>
            </w:r>
          </w:p>
          <w:p w:rsidR="00111088" w:rsidRPr="002E37A2" w:rsidRDefault="00111088" w:rsidP="002345D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446E2" w:rsidRPr="002E37A2" w:rsidRDefault="005446E2" w:rsidP="005446E2">
      <w:pPr>
        <w:rPr>
          <w:rFonts w:ascii="Arial" w:hAnsi="Arial" w:cs="Arial"/>
          <w:sz w:val="20"/>
          <w:szCs w:val="20"/>
        </w:rPr>
      </w:pPr>
      <w:r w:rsidRPr="002E37A2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2E37A2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2E37A2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67ED1">
              <w:rPr>
                <w:rFonts w:ascii="Arial" w:eastAsia="Calibri" w:hAnsi="Arial" w:cs="Arial"/>
                <w:b/>
                <w:sz w:val="20"/>
                <w:szCs w:val="20"/>
              </w:rPr>
              <w:t>4214024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2E37A2" w:rsidRDefault="00A90F43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TEORÍA DE LAS OBLIGACIONES</w:t>
            </w:r>
          </w:p>
        </w:tc>
      </w:tr>
      <w:tr w:rsidR="005446E2" w:rsidRPr="002E37A2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2E37A2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ED6" w:rsidRPr="002E37A2" w:rsidRDefault="00F43ED6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F43ED6" w:rsidRPr="00F70ED9" w:rsidRDefault="00F43ED6" w:rsidP="00F43ED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0ED9">
              <w:rPr>
                <w:rFonts w:ascii="Arial" w:eastAsia="Calibri" w:hAnsi="Arial" w:cs="Arial"/>
                <w:b/>
                <w:sz w:val="20"/>
                <w:szCs w:val="20"/>
              </w:rPr>
              <w:t>7. Principales causas de extinción de las obligaciones.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Formas distintas al pago.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novación.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dación en pago.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7.1.3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compensación.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transacción.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7.1.4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confusión. </w:t>
            </w:r>
          </w:p>
          <w:p w:rsidR="00F43ED6" w:rsidRPr="002E37A2" w:rsidRDefault="00F43ED6" w:rsidP="00F43ED6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7.1.5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El acreedor no recibe nada en pago. </w:t>
            </w:r>
          </w:p>
          <w:p w:rsidR="00F43ED6" w:rsidRPr="002E37A2" w:rsidRDefault="00F43ED6" w:rsidP="00F43ED6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renuncia de derechos. </w:t>
            </w:r>
          </w:p>
          <w:p w:rsidR="00DF362F" w:rsidRPr="002E37A2" w:rsidRDefault="00F43ED6" w:rsidP="00DF362F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7.2.1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remisión de deuda o el abandono de los derechos. </w:t>
            </w:r>
          </w:p>
          <w:p w:rsidR="005446E2" w:rsidRPr="002E37A2" w:rsidRDefault="00F43ED6" w:rsidP="00DF362F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E37A2">
              <w:rPr>
                <w:rFonts w:ascii="Arial" w:eastAsia="Calibri" w:hAnsi="Arial" w:cs="Arial"/>
                <w:sz w:val="20"/>
                <w:szCs w:val="20"/>
              </w:rPr>
              <w:t>7.2.2</w:t>
            </w:r>
            <w:r w:rsidR="003135D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E37A2">
              <w:rPr>
                <w:rFonts w:ascii="Arial" w:eastAsia="Calibri" w:hAnsi="Arial" w:cs="Arial"/>
                <w:sz w:val="20"/>
                <w:szCs w:val="20"/>
              </w:rPr>
              <w:t xml:space="preserve"> La caducidad y la prescripción.</w:t>
            </w:r>
          </w:p>
          <w:p w:rsidR="00DF362F" w:rsidRPr="002E37A2" w:rsidRDefault="00DF362F" w:rsidP="00F43ED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F362F" w:rsidRPr="002E37A2" w:rsidRDefault="00DF362F" w:rsidP="00F43ED6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E4654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F43ED6" w:rsidRPr="002E37A2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12CF0" w:rsidRPr="00512CF0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2E37A2" w:rsidRPr="00D3531F" w:rsidRDefault="002E37A2" w:rsidP="002E37A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E4654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F43ED6" w:rsidRPr="002E37A2" w:rsidRDefault="00F43ED6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E37A2" w:rsidRPr="00512CF0" w:rsidRDefault="002E37A2" w:rsidP="002E3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Evaluaciones periódicas.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Reportes de lectura.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Entrega de trabajos de investigación jurídica.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Resolución de casos prácticos.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Participación en clase.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Portafolio de evidencias.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Solución de ejercicios.</w:t>
            </w:r>
          </w:p>
          <w:p w:rsidR="002E37A2" w:rsidRPr="00D3531F" w:rsidRDefault="002E37A2" w:rsidP="00512CF0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Evaluación terminal.</w:t>
            </w:r>
          </w:p>
          <w:p w:rsidR="002E37A2" w:rsidRPr="00D3531F" w:rsidRDefault="002E37A2" w:rsidP="002E37A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12CF0" w:rsidRPr="00D3531F" w:rsidRDefault="002E37A2" w:rsidP="002E37A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2E37A2" w:rsidRPr="00512CF0" w:rsidRDefault="002E37A2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8249FF" w:rsidRPr="00512CF0" w:rsidRDefault="008249FF" w:rsidP="00512CF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2CF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2E37A2" w:rsidRPr="00D3531F" w:rsidRDefault="002E37A2" w:rsidP="002E37A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E37A2" w:rsidRPr="00D3531F" w:rsidRDefault="002E37A2" w:rsidP="002E37A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46E2" w:rsidRPr="002E37A2" w:rsidRDefault="005446E2" w:rsidP="00F43E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2E37A2" w:rsidRDefault="005446E2">
      <w:pPr>
        <w:rPr>
          <w:rFonts w:ascii="Arial" w:hAnsi="Arial" w:cs="Arial"/>
          <w:sz w:val="20"/>
          <w:szCs w:val="20"/>
        </w:rPr>
      </w:pPr>
      <w:r w:rsidRPr="002E37A2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2E37A2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2E37A2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2E37A2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67ED1">
              <w:rPr>
                <w:rFonts w:ascii="Arial" w:eastAsia="Calibri" w:hAnsi="Arial" w:cs="Arial"/>
                <w:b/>
                <w:sz w:val="20"/>
                <w:szCs w:val="20"/>
              </w:rPr>
              <w:t>4214024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2E37A2" w:rsidRDefault="00A90F43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Calibri" w:hAnsi="Arial" w:cs="Arial"/>
                <w:b/>
                <w:sz w:val="20"/>
                <w:szCs w:val="20"/>
              </w:rPr>
              <w:t>TEORÍA DE LAS OBLIGACIONES</w:t>
            </w:r>
          </w:p>
        </w:tc>
      </w:tr>
      <w:tr w:rsidR="005446E2" w:rsidRPr="002E37A2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2E37A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2E37A2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Bejarano Sánchez, M.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Obligaciones Civiles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Harla</w:t>
            </w:r>
            <w:proofErr w:type="spellEnd"/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1990.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Bello Janeiro, D.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Cuestiones Actuales de Responsabilidad Civil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sz w:val="20"/>
                <w:szCs w:val="20"/>
              </w:rPr>
              <w:t>Reus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2009.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Borja Soriano, M.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Teoría General de las Obligaciones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sz w:val="20"/>
                <w:szCs w:val="20"/>
              </w:rPr>
              <w:t>Porrúa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2014.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De Pina, R.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 Mexicano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vol.</w:t>
            </w:r>
            <w:r w:rsidRPr="00D257AD">
              <w:rPr>
                <w:rFonts w:ascii="Arial" w:hAnsi="Arial" w:cs="Arial"/>
                <w:sz w:val="20"/>
                <w:szCs w:val="20"/>
              </w:rPr>
              <w:t>3, Porrúa. México, 2008.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Domínguez Martínez, J. A.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Civil: Contrato, </w:t>
            </w:r>
            <w:r w:rsidRPr="00D257AD">
              <w:rPr>
                <w:rFonts w:ascii="Arial" w:hAnsi="Arial" w:cs="Arial"/>
                <w:sz w:val="20"/>
                <w:szCs w:val="20"/>
              </w:rPr>
              <w:t>Porrúa, México, 2007.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Gutiérrez y González, E.</w:t>
            </w:r>
            <w:r w:rsidR="003135DF"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  <w:r w:rsidRPr="00D257A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de las Obligaciones</w:t>
            </w: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Magallón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Ibarra, J. M.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Instituciones de Derecho Civil. </w:t>
            </w:r>
            <w:r w:rsidRPr="00D257AD">
              <w:rPr>
                <w:rFonts w:ascii="Arial" w:hAnsi="Arial" w:cs="Arial"/>
                <w:sz w:val="20"/>
                <w:szCs w:val="20"/>
              </w:rPr>
              <w:t>Tomo VI. Porrúa. México, 1997.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Martínez Alfaro, J.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Teoría de las Obligaciones,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Porrúa,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2012.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Pérez Bautista, M. Á.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bligaciones,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IURE,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2009.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Pérez Fernández del Castillo, B.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Contratos Civiles,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Porrúa,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2007.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Rico Álvarez, F.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sz w:val="20"/>
                <w:szCs w:val="20"/>
              </w:rPr>
              <w:t>Compendio de Derecho de Obligaciones</w:t>
            </w:r>
            <w:r w:rsidRPr="00D257AD">
              <w:rPr>
                <w:rFonts w:ascii="Arial" w:hAnsi="Arial" w:cs="Arial"/>
                <w:sz w:val="20"/>
                <w:szCs w:val="20"/>
              </w:rPr>
              <w:t>, Porrúa, México, 2014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Robles Farías, D.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sz w:val="20"/>
                <w:szCs w:val="20"/>
              </w:rPr>
              <w:t>Teoría General De Las Obligaciones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 Oxford,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2011.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Rojina</w:t>
            </w:r>
            <w:proofErr w:type="spellEnd"/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Villegas, R. </w:t>
            </w:r>
            <w:r w:rsidRPr="00D257A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de Derecho Civil Mexicano</w:t>
            </w:r>
            <w:r w:rsidR="003135DF"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t. </w:t>
            </w: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 (I y II), Obligaciones, Porrúa, México, 2010.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Sepúlveda Sandoval, C.</w:t>
            </w:r>
            <w:r w:rsidR="003135DF"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D257A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 los Derechos Personales, de Crédito u Obligaciones</w:t>
            </w: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</w:t>
            </w:r>
            <w:r w:rsidR="003135DF"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1996</w:t>
            </w:r>
            <w:r w:rsidRPr="00D257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Sierra Gil de la Cuesta, I.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Tratado de Responsabilidad Civil. Dos Volúmenes</w:t>
            </w:r>
            <w:r w:rsidR="003135DF"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Bosch. Barcelona, 2008.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Tapia Ramírez, J.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de obligaciones, </w:t>
            </w:r>
            <w:r w:rsidRPr="00D257AD">
              <w:rPr>
                <w:rFonts w:ascii="Arial" w:hAnsi="Arial" w:cs="Arial"/>
                <w:sz w:val="20"/>
                <w:szCs w:val="20"/>
              </w:rPr>
              <w:t>Porrúa. México, 2012.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Treviño García, R.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sz w:val="20"/>
                <w:szCs w:val="20"/>
              </w:rPr>
              <w:t>Teoría General De Las Obligaciones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Mcgraw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Hill</w:t>
            </w:r>
            <w:r w:rsidRPr="00D257AD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D257AD">
              <w:rPr>
                <w:rFonts w:ascii="Arial" w:hAnsi="Arial" w:cs="Arial"/>
                <w:sz w:val="20"/>
                <w:szCs w:val="20"/>
              </w:rPr>
              <w:t>México, 2007.</w:t>
            </w:r>
          </w:p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hAnsi="Arial" w:cs="Arial"/>
                <w:b/>
                <w:sz w:val="20"/>
                <w:szCs w:val="20"/>
              </w:rPr>
              <w:t>BIBLIOGRAFÍA COMPLEMENTARIA</w:t>
            </w:r>
            <w:r w:rsidR="00E4654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43ED6" w:rsidRPr="002E37A2" w:rsidRDefault="00F43ED6" w:rsidP="00F43ED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7AD">
              <w:rPr>
                <w:rFonts w:ascii="Arial" w:hAnsi="Arial" w:cs="Arial"/>
                <w:sz w:val="20"/>
                <w:szCs w:val="20"/>
              </w:rPr>
              <w:t>Azua Reyes, S.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Teoría General de las Obligaciones</w:t>
            </w:r>
            <w:r w:rsidRPr="00D257AD">
              <w:rPr>
                <w:rFonts w:ascii="Arial" w:hAnsi="Arial" w:cs="Arial"/>
                <w:sz w:val="20"/>
                <w:szCs w:val="20"/>
              </w:rPr>
              <w:t>, Porrúa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México, 2007.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Bonnecase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, J.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. Tomo III, José M.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Cajica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Jr. Puebla, México, 1985.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European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Tort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Law</w:t>
            </w:r>
            <w:proofErr w:type="spellEnd"/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Principios de Derecho Europeo: La Responsabilidad Civil. </w:t>
            </w:r>
            <w:r w:rsidRPr="00D257AD">
              <w:rPr>
                <w:rFonts w:ascii="Arial" w:hAnsi="Arial" w:cs="Arial"/>
                <w:sz w:val="20"/>
                <w:szCs w:val="20"/>
              </w:rPr>
              <w:t>Aran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z</w:t>
            </w:r>
            <w:r w:rsidRPr="00D257AD">
              <w:rPr>
                <w:rFonts w:ascii="Arial" w:hAnsi="Arial" w:cs="Arial"/>
                <w:sz w:val="20"/>
                <w:szCs w:val="20"/>
              </w:rPr>
              <w:t>adi, España-Argentina, 2008.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Mazeaud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>, Henri, L. y J.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57A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Lecciones de Derecho Civil. Parte 2, vol. II: Responsabilidad Civil; Cuasicontratos. Vol. III, Cumplimiento, Extinción y Transmisión de las Obligaciones. </w:t>
            </w:r>
            <w:r w:rsidRPr="00D257AD">
              <w:rPr>
                <w:rFonts w:ascii="Arial" w:hAnsi="Arial" w:cs="Arial"/>
                <w:sz w:val="20"/>
                <w:szCs w:val="20"/>
              </w:rPr>
              <w:t>Ediciones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,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 1986.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Pampillo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Baliño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, J. P., </w:t>
            </w:r>
            <w:r w:rsidRPr="00D257AD">
              <w:rPr>
                <w:rFonts w:ascii="Arial" w:hAnsi="Arial" w:cs="Arial"/>
                <w:i/>
                <w:sz w:val="20"/>
                <w:szCs w:val="20"/>
              </w:rPr>
              <w:t>Derecho de las Obligaciones</w:t>
            </w:r>
            <w:r w:rsidRPr="00D257AD">
              <w:rPr>
                <w:rFonts w:ascii="Arial" w:hAnsi="Arial" w:cs="Arial"/>
                <w:sz w:val="20"/>
                <w:szCs w:val="20"/>
              </w:rPr>
              <w:t>, Porrúa, México, 2012.</w:t>
            </w:r>
          </w:p>
          <w:p w:rsidR="002E37A2" w:rsidRPr="00D257AD" w:rsidRDefault="002E37A2" w:rsidP="00D257AD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Simental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 xml:space="preserve"> Franco V. M. </w:t>
            </w:r>
            <w:r w:rsidRPr="00D257AD">
              <w:rPr>
                <w:rFonts w:ascii="Arial" w:hAnsi="Arial" w:cs="Arial"/>
                <w:i/>
                <w:sz w:val="20"/>
                <w:szCs w:val="20"/>
              </w:rPr>
              <w:t>Derecho De Las Obligaciones</w:t>
            </w:r>
            <w:r w:rsidRPr="00D257A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257AD">
              <w:rPr>
                <w:rFonts w:ascii="Arial" w:hAnsi="Arial" w:cs="Arial"/>
                <w:sz w:val="20"/>
                <w:szCs w:val="20"/>
              </w:rPr>
              <w:t>Limusa</w:t>
            </w:r>
            <w:proofErr w:type="spellEnd"/>
            <w:r w:rsidRPr="00D257AD">
              <w:rPr>
                <w:rFonts w:ascii="Arial" w:hAnsi="Arial" w:cs="Arial"/>
                <w:sz w:val="20"/>
                <w:szCs w:val="20"/>
              </w:rPr>
              <w:t>, México, 2014</w:t>
            </w:r>
            <w:r w:rsidR="003135DF" w:rsidRPr="00D257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46E2" w:rsidRPr="002E37A2" w:rsidRDefault="005446E2" w:rsidP="005446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345DC" w:rsidRPr="002E37A2" w:rsidRDefault="002345DC" w:rsidP="005446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345DC" w:rsidRPr="002E37A2" w:rsidRDefault="002345DC" w:rsidP="002345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37A2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2345DC" w:rsidRPr="002E37A2" w:rsidRDefault="002345DC" w:rsidP="002345D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345DC" w:rsidRDefault="002345DC" w:rsidP="002E37A2">
            <w:pPr>
              <w:tabs>
                <w:tab w:val="left" w:pos="3917"/>
              </w:tabs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7A2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2E37A2" w:rsidRPr="002E37A2" w:rsidRDefault="002E37A2" w:rsidP="002E37A2">
            <w:pPr>
              <w:tabs>
                <w:tab w:val="left" w:pos="3917"/>
              </w:tabs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Civil Federal.</w:t>
            </w:r>
          </w:p>
          <w:p w:rsidR="002345DC" w:rsidRPr="002E37A2" w:rsidRDefault="002345DC" w:rsidP="002345DC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7A2">
              <w:rPr>
                <w:rFonts w:ascii="Arial" w:hAnsi="Arial" w:cs="Arial"/>
                <w:sz w:val="20"/>
                <w:szCs w:val="20"/>
              </w:rPr>
              <w:t>Ley del Notariado para el Distrito Federal.</w:t>
            </w:r>
          </w:p>
          <w:p w:rsidR="002345DC" w:rsidRPr="002E37A2" w:rsidRDefault="002345DC" w:rsidP="002345D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37A2">
              <w:rPr>
                <w:rFonts w:ascii="Arial" w:hAnsi="Arial" w:cs="Arial"/>
                <w:sz w:val="20"/>
                <w:szCs w:val="20"/>
              </w:rPr>
              <w:t>Ley Federal de Protección al Consumidor.</w:t>
            </w:r>
          </w:p>
        </w:tc>
      </w:tr>
      <w:bookmarkEnd w:id="0"/>
      <w:bookmarkEnd w:id="1"/>
    </w:tbl>
    <w:p w:rsidR="005446E2" w:rsidRPr="002E37A2" w:rsidRDefault="005446E2">
      <w:pPr>
        <w:rPr>
          <w:rFonts w:ascii="Arial" w:hAnsi="Arial" w:cs="Arial"/>
          <w:sz w:val="20"/>
          <w:szCs w:val="20"/>
        </w:rPr>
      </w:pPr>
    </w:p>
    <w:sectPr w:rsidR="005446E2" w:rsidRPr="002E37A2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C8E" w:rsidRDefault="006A6C8E" w:rsidP="00C908F5">
      <w:pPr>
        <w:spacing w:after="0" w:line="240" w:lineRule="auto"/>
      </w:pPr>
      <w:r>
        <w:separator/>
      </w:r>
    </w:p>
  </w:endnote>
  <w:endnote w:type="continuationSeparator" w:id="0">
    <w:p w:rsidR="006A6C8E" w:rsidRDefault="006A6C8E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C8E" w:rsidRDefault="006A6C8E" w:rsidP="00C908F5">
      <w:pPr>
        <w:spacing w:after="0" w:line="240" w:lineRule="auto"/>
      </w:pPr>
      <w:r>
        <w:separator/>
      </w:r>
    </w:p>
  </w:footnote>
  <w:footnote w:type="continuationSeparator" w:id="0">
    <w:p w:rsidR="006A6C8E" w:rsidRDefault="006A6C8E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D257AD" w:rsidRDefault="00D257AD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D257AD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77E75E5"/>
    <w:multiLevelType w:val="hybridMultilevel"/>
    <w:tmpl w:val="8E3CF7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26CC6"/>
    <w:multiLevelType w:val="hybridMultilevel"/>
    <w:tmpl w:val="DD3A9D9E"/>
    <w:lvl w:ilvl="0" w:tplc="BF50FC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97375"/>
    <w:multiLevelType w:val="hybridMultilevel"/>
    <w:tmpl w:val="ACB62C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00B70"/>
    <w:rsid w:val="000224C2"/>
    <w:rsid w:val="0003366F"/>
    <w:rsid w:val="00057DA1"/>
    <w:rsid w:val="00071D18"/>
    <w:rsid w:val="000B2755"/>
    <w:rsid w:val="000E437D"/>
    <w:rsid w:val="00111088"/>
    <w:rsid w:val="00112077"/>
    <w:rsid w:val="001264DE"/>
    <w:rsid w:val="00150071"/>
    <w:rsid w:val="002210FF"/>
    <w:rsid w:val="002345DC"/>
    <w:rsid w:val="002643E9"/>
    <w:rsid w:val="00295225"/>
    <w:rsid w:val="00295F0E"/>
    <w:rsid w:val="002E37A2"/>
    <w:rsid w:val="003135DF"/>
    <w:rsid w:val="00365CC3"/>
    <w:rsid w:val="0040151A"/>
    <w:rsid w:val="00414ED6"/>
    <w:rsid w:val="00421547"/>
    <w:rsid w:val="00445FDD"/>
    <w:rsid w:val="004537C1"/>
    <w:rsid w:val="004A10B8"/>
    <w:rsid w:val="004A16D0"/>
    <w:rsid w:val="004F3485"/>
    <w:rsid w:val="00512CF0"/>
    <w:rsid w:val="0051580F"/>
    <w:rsid w:val="00520D73"/>
    <w:rsid w:val="0053584F"/>
    <w:rsid w:val="005446E2"/>
    <w:rsid w:val="005E0C94"/>
    <w:rsid w:val="005E7145"/>
    <w:rsid w:val="0060439E"/>
    <w:rsid w:val="006A6C8E"/>
    <w:rsid w:val="006F1007"/>
    <w:rsid w:val="007500BB"/>
    <w:rsid w:val="00773FDB"/>
    <w:rsid w:val="00822AD2"/>
    <w:rsid w:val="008249FF"/>
    <w:rsid w:val="00850B36"/>
    <w:rsid w:val="008A32FD"/>
    <w:rsid w:val="0090044A"/>
    <w:rsid w:val="009725F1"/>
    <w:rsid w:val="00980262"/>
    <w:rsid w:val="009A44F4"/>
    <w:rsid w:val="00A53A71"/>
    <w:rsid w:val="00A606A8"/>
    <w:rsid w:val="00A73183"/>
    <w:rsid w:val="00A90F43"/>
    <w:rsid w:val="00AD3358"/>
    <w:rsid w:val="00AF1B9A"/>
    <w:rsid w:val="00B31134"/>
    <w:rsid w:val="00B475F0"/>
    <w:rsid w:val="00B53038"/>
    <w:rsid w:val="00B9511B"/>
    <w:rsid w:val="00B96E3A"/>
    <w:rsid w:val="00C0119D"/>
    <w:rsid w:val="00C0174F"/>
    <w:rsid w:val="00C66097"/>
    <w:rsid w:val="00C908F5"/>
    <w:rsid w:val="00CE0D68"/>
    <w:rsid w:val="00CF1578"/>
    <w:rsid w:val="00CF3466"/>
    <w:rsid w:val="00CF3CA5"/>
    <w:rsid w:val="00D257AD"/>
    <w:rsid w:val="00D3564D"/>
    <w:rsid w:val="00DC53D7"/>
    <w:rsid w:val="00DF362F"/>
    <w:rsid w:val="00E4654A"/>
    <w:rsid w:val="00E67ED1"/>
    <w:rsid w:val="00E750D7"/>
    <w:rsid w:val="00E84C88"/>
    <w:rsid w:val="00EA2C02"/>
    <w:rsid w:val="00EE1A9D"/>
    <w:rsid w:val="00EE367C"/>
    <w:rsid w:val="00F40074"/>
    <w:rsid w:val="00F43ED6"/>
    <w:rsid w:val="00F46007"/>
    <w:rsid w:val="00F56D63"/>
    <w:rsid w:val="00F57018"/>
    <w:rsid w:val="00F70483"/>
    <w:rsid w:val="00F70ED9"/>
    <w:rsid w:val="00F72C2A"/>
    <w:rsid w:val="00F960C9"/>
    <w:rsid w:val="00FB492E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0BD3300-572B-43C4-88FA-84A92D02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F43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4</cp:revision>
  <cp:lastPrinted>2014-02-27T18:43:00Z</cp:lastPrinted>
  <dcterms:created xsi:type="dcterms:W3CDTF">2015-04-20T15:20:00Z</dcterms:created>
  <dcterms:modified xsi:type="dcterms:W3CDTF">2015-06-19T17:19:00Z</dcterms:modified>
</cp:coreProperties>
</file>