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0698D" w14:textId="77777777" w:rsidR="00C343B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color w:val="000000"/>
        </w:rPr>
      </w:pPr>
      <w:bookmarkStart w:id="0" w:name="bookmark=id.gjdgxs" w:colFirst="0" w:colLast="0"/>
      <w:bookmarkEnd w:id="0"/>
      <w:r>
        <w:rPr>
          <w:noProof/>
          <w:color w:val="000000"/>
        </w:rPr>
        <w:drawing>
          <wp:inline distT="0" distB="0" distL="114300" distR="114300" wp14:anchorId="333B7322" wp14:editId="0ABCA603">
            <wp:extent cx="5848985" cy="499110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8985" cy="4991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D9E131A" w14:textId="77777777" w:rsidR="00C343B0" w:rsidRDefault="00C343B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575"/>
        <w:gridCol w:w="1589"/>
      </w:tblGrid>
      <w:tr w:rsidR="00C343B0" w14:paraId="459B4F29" w14:textId="77777777">
        <w:trPr>
          <w:trHeight w:val="517"/>
        </w:trPr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F8DDB" w14:textId="77777777" w:rsidR="00C34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0B01FA5B" w14:textId="77777777" w:rsidR="00C34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E28D5" w14:textId="77777777" w:rsidR="00C34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7CA160EC" w14:textId="77777777" w:rsidR="00C34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02D00" w14:textId="77777777" w:rsidR="00C34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C343B0" w14:paraId="4BD09E85" w14:textId="77777777">
        <w:trPr>
          <w:trHeight w:val="553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8C2E4" w14:textId="77777777" w:rsidR="00C34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06998D5B" w14:textId="77777777" w:rsidR="00C34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C343B0" w14:paraId="48165344" w14:textId="77777777">
        <w:trPr>
          <w:cantSplit/>
          <w:trHeight w:val="561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5E3294" w14:textId="77777777" w:rsidR="00C34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41C71E93" w14:textId="77777777" w:rsidR="00C34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4603077</w:t>
            </w: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CB9D5" w14:textId="77777777" w:rsidR="00C34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2AA1DE59" w14:textId="77777777" w:rsidR="00C343B0" w:rsidRDefault="00C34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1EDBB821" w14:textId="77777777" w:rsidR="00C34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TÉCNICAS DE  CARACTERIZACIÓN MOLECULAR I</w:t>
            </w: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37B83" w14:textId="77777777" w:rsidR="00C34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C343B0" w14:paraId="56A9B49B" w14:textId="77777777">
        <w:trPr>
          <w:cantSplit/>
          <w:trHeight w:val="555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852927" w14:textId="77777777" w:rsidR="00C343B0" w:rsidRDefault="00C343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881A7" w14:textId="77777777" w:rsidR="00C343B0" w:rsidRDefault="00C343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2BE42" w14:textId="77777777" w:rsidR="00C34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</w:t>
            </w:r>
            <w:r>
              <w:rPr>
                <w:rFonts w:ascii="Arial" w:eastAsia="Arial" w:hAnsi="Arial" w:cs="Arial"/>
                <w:b/>
                <w:color w:val="000000"/>
              </w:rPr>
              <w:t>OBL.</w:t>
            </w:r>
          </w:p>
        </w:tc>
      </w:tr>
      <w:tr w:rsidR="00C343B0" w14:paraId="2DE80231" w14:textId="77777777">
        <w:trPr>
          <w:cantSplit/>
          <w:trHeight w:val="269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274DA" w14:textId="77777777" w:rsidR="00C34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72C9A12A" w14:textId="77777777" w:rsidR="00C34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8BD85" w14:textId="77777777" w:rsidR="00C343B0" w:rsidRDefault="00C343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B7B7E" w14:textId="77777777" w:rsidR="00C34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044D8B5C" w14:textId="77777777" w:rsidR="00C34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V-VII</w:t>
            </w:r>
          </w:p>
        </w:tc>
      </w:tr>
      <w:tr w:rsidR="00C343B0" w14:paraId="1D992A78" w14:textId="77777777">
        <w:trPr>
          <w:cantSplit/>
          <w:trHeight w:val="269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8ED5D" w14:textId="77777777" w:rsidR="00C343B0" w:rsidRDefault="00C343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6E147" w14:textId="77777777" w:rsidR="00C34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</w:t>
            </w: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D281F" w14:textId="77777777" w:rsidR="00C343B0" w:rsidRDefault="00C343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C343B0" w14:paraId="1616D349" w14:textId="77777777">
        <w:trPr>
          <w:cantSplit/>
          <w:trHeight w:val="565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F0527" w14:textId="77777777" w:rsidR="00C34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2D756E8E" w14:textId="77777777" w:rsidR="00C34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6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EF8B5" w14:textId="77777777" w:rsidR="00C343B0" w:rsidRDefault="00C343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7F74A" w14:textId="77777777" w:rsidR="00C343B0" w:rsidRDefault="00C343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C343B0" w14:paraId="17AD3C45" w14:textId="77777777"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4B465AC" w14:textId="77777777" w:rsidR="00C343B0" w:rsidRDefault="00C34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C343B0" w14:paraId="4A16177D" w14:textId="77777777">
        <w:trPr>
          <w:trHeight w:val="9115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DF32A" w14:textId="77777777" w:rsidR="00C343B0" w:rsidRDefault="00C343B0">
            <w:pPr>
              <w:jc w:val="both"/>
              <w:rPr>
                <w:rFonts w:ascii="Arial" w:eastAsia="Arial" w:hAnsi="Arial" w:cs="Arial"/>
              </w:rPr>
            </w:pPr>
          </w:p>
          <w:p w14:paraId="229672C4" w14:textId="77777777" w:rsidR="00C343B0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00BDA140" w14:textId="77777777" w:rsidR="00C343B0" w:rsidRDefault="00C343B0">
            <w:pPr>
              <w:ind w:left="113" w:right="113" w:firstLine="0"/>
              <w:jc w:val="both"/>
              <w:rPr>
                <w:rFonts w:ascii="Arial" w:eastAsia="Arial" w:hAnsi="Arial" w:cs="Arial"/>
              </w:rPr>
            </w:pPr>
          </w:p>
          <w:p w14:paraId="05DFB1C7" w14:textId="77777777" w:rsidR="00C343B0" w:rsidRDefault="00000000">
            <w:pPr>
              <w:ind w:right="11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14:paraId="71B3C222" w14:textId="77777777" w:rsidR="00C343B0" w:rsidRDefault="00C343B0">
            <w:pPr>
              <w:jc w:val="both"/>
              <w:rPr>
                <w:rFonts w:ascii="Arial" w:eastAsia="Arial" w:hAnsi="Arial" w:cs="Arial"/>
              </w:rPr>
            </w:pPr>
          </w:p>
          <w:p w14:paraId="182B8973" w14:textId="77777777" w:rsidR="00C343B0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5944B500" w14:textId="77777777" w:rsidR="00C343B0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Comprender y aplicar los fundamentos de electromagnetismo en técnicas electroforéticas, espectroscópicas y ópticas para el estudio de sistemas biológicos.</w:t>
            </w:r>
          </w:p>
          <w:p w14:paraId="3BE0B1FE" w14:textId="77777777" w:rsidR="00C343B0" w:rsidRDefault="00C343B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  <w:p w14:paraId="361933D1" w14:textId="77777777" w:rsidR="00C343B0" w:rsidRDefault="0000000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  <w:color w:val="000000"/>
              </w:rPr>
              <w:t>:</w:t>
            </w:r>
          </w:p>
          <w:p w14:paraId="7FE5AAE5" w14:textId="77777777" w:rsidR="00C343B0" w:rsidRDefault="00C343B0">
            <w:pPr>
              <w:jc w:val="both"/>
              <w:rPr>
                <w:rFonts w:ascii="Arial" w:eastAsia="Arial" w:hAnsi="Arial" w:cs="Arial"/>
              </w:rPr>
            </w:pPr>
          </w:p>
          <w:p w14:paraId="28DA0875" w14:textId="77777777" w:rsidR="00C343B0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4F832E52" w14:textId="77777777" w:rsidR="00C343B0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Comprender los conceptos de electricidad y magnetismo relacionados con técnicas experimentales relevantes en biología molecular.</w:t>
            </w:r>
          </w:p>
          <w:p w14:paraId="7694D401" w14:textId="77777777" w:rsidR="00C343B0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Entender los fundamentos de la interacción de la radiación con la materia, en el contexto de las técnicas experimentales espectroscópicas relevantes que se utilizan en biología molecular.</w:t>
            </w:r>
          </w:p>
          <w:p w14:paraId="469630DC" w14:textId="77777777" w:rsidR="00C343B0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Conocer los fundamentos de la óptica en microscopía.</w:t>
            </w:r>
          </w:p>
          <w:p w14:paraId="0ADD4390" w14:textId="77777777" w:rsidR="00C343B0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Interpretar los resultados de las técnicas experimentales estudiadas.</w:t>
            </w:r>
          </w:p>
          <w:p w14:paraId="6575A468" w14:textId="77777777" w:rsidR="00C343B0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Aplicar algunas de esas técnicas para generar información sobre las características estructurales de moléculas de interés biológico.</w:t>
            </w:r>
          </w:p>
          <w:p w14:paraId="6D31135A" w14:textId="77777777" w:rsidR="00C343B0" w:rsidRDefault="00C343B0">
            <w:pPr>
              <w:jc w:val="both"/>
              <w:rPr>
                <w:rFonts w:ascii="Arial" w:eastAsia="Arial" w:hAnsi="Arial" w:cs="Arial"/>
              </w:rPr>
            </w:pPr>
          </w:p>
          <w:p w14:paraId="0EC06147" w14:textId="77777777" w:rsidR="00C343B0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0560A4C2" w14:textId="77777777" w:rsidR="00C343B0" w:rsidRDefault="00C343B0">
            <w:pPr>
              <w:jc w:val="both"/>
              <w:rPr>
                <w:rFonts w:ascii="Arial" w:eastAsia="Arial" w:hAnsi="Arial" w:cs="Arial"/>
              </w:rPr>
            </w:pPr>
          </w:p>
          <w:p w14:paraId="679D5049" w14:textId="77777777" w:rsidR="00C343B0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Fundamentos de electromagnetismo. Aplicaciones en biosistemas.</w:t>
            </w:r>
          </w:p>
          <w:p w14:paraId="191DE800" w14:textId="77777777" w:rsidR="00C343B0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Bases teóricas de la electroforesis. Variantes de la técnica.</w:t>
            </w:r>
          </w:p>
          <w:p w14:paraId="2B59F58F" w14:textId="77777777" w:rsidR="00C343B0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Espectro electromagnético y la interacción de la luz con la materia.</w:t>
            </w:r>
          </w:p>
          <w:p w14:paraId="352E3336" w14:textId="77777777" w:rsidR="00C343B0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Espectroscopías de absorción, fluorescencia, infrarrojo y resonancia magnética nuclear.</w:t>
            </w:r>
          </w:p>
          <w:p w14:paraId="486F644D" w14:textId="77777777" w:rsidR="00C343B0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Luz y microscopía óptica.</w:t>
            </w:r>
          </w:p>
          <w:p w14:paraId="7467B4F6" w14:textId="77777777" w:rsidR="00C343B0" w:rsidRDefault="00C34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687" w:hanging="360"/>
              <w:rPr>
                <w:rFonts w:ascii="Arial" w:eastAsia="Arial" w:hAnsi="Arial" w:cs="Arial"/>
                <w:color w:val="000000"/>
              </w:rPr>
            </w:pPr>
          </w:p>
          <w:p w14:paraId="49963D26" w14:textId="77777777" w:rsidR="00C343B0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23B4B758" w14:textId="77777777" w:rsidR="00C343B0" w:rsidRDefault="00C343B0">
            <w:pPr>
              <w:jc w:val="both"/>
              <w:rPr>
                <w:rFonts w:ascii="Arial" w:eastAsia="Arial" w:hAnsi="Arial" w:cs="Arial"/>
              </w:rPr>
            </w:pPr>
          </w:p>
          <w:p w14:paraId="66EA6AF5" w14:textId="77777777" w:rsidR="00C34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Esta UEA se conducirá con una proporción balanceada de teoría y actividades experimentales que la ilustren. La teoría se describirá en el contexto específico de las técnicas experimentales que son relevantes para la biología molecular.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 xml:space="preserve"> describirá los fundamentos básicos y propondrá lecturas o materiales didácticos para aclarar y profundizar en la comprensión de tales fundamentos.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revisará los fundamentos y protocolos con anterioridad al día de la actividad práctica. Ésta será conducida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 xml:space="preserve"> organizando </w:t>
            </w:r>
            <w:r>
              <w:rPr>
                <w:rFonts w:ascii="Arial" w:eastAsia="Arial" w:hAnsi="Arial" w:cs="Arial"/>
                <w:color w:val="FF0000"/>
              </w:rPr>
              <w:t>al alumnado</w:t>
            </w:r>
            <w:r>
              <w:rPr>
                <w:rFonts w:ascii="Arial" w:eastAsia="Arial" w:hAnsi="Arial" w:cs="Arial"/>
                <w:color w:val="000000"/>
              </w:rPr>
              <w:t xml:space="preserve"> en equipos de trabajo que seguirán un protocolo específico según sus instrucciones.</w:t>
            </w:r>
          </w:p>
        </w:tc>
      </w:tr>
      <w:tr w:rsidR="00C343B0" w14:paraId="494875B0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C8FF21F" w14:textId="77777777" w:rsidR="00C343B0" w:rsidRDefault="00C34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C343B0" w14:paraId="44B6D5F0" w14:textId="77777777">
        <w:tc>
          <w:tcPr>
            <w:tcW w:w="77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7C663" w14:textId="77777777" w:rsidR="00C343B0" w:rsidRDefault="00C343B0">
            <w:pPr>
              <w:rPr>
                <w:rFonts w:ascii="Arial" w:eastAsia="Arial" w:hAnsi="Arial" w:cs="Arial"/>
              </w:rPr>
            </w:pPr>
          </w:p>
          <w:p w14:paraId="1FE2C1EC" w14:textId="77777777" w:rsidR="00C343B0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59363B3F" w14:textId="77777777" w:rsidR="00C343B0" w:rsidRDefault="00C343B0">
            <w:pPr>
              <w:rPr>
                <w:rFonts w:ascii="Arial" w:eastAsia="Arial" w:hAnsi="Arial" w:cs="Arial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BC8CA" w14:textId="77777777" w:rsidR="00C343B0" w:rsidRDefault="00C343B0">
            <w:pPr>
              <w:jc w:val="center"/>
              <w:rPr>
                <w:rFonts w:ascii="Arial" w:eastAsia="Arial" w:hAnsi="Arial" w:cs="Arial"/>
              </w:rPr>
            </w:pPr>
          </w:p>
          <w:p w14:paraId="5DA2AC3F" w14:textId="77777777" w:rsidR="00C343B0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C343B0" w14:paraId="19D20666" w14:textId="77777777">
        <w:trPr>
          <w:trHeight w:val="569"/>
        </w:trPr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A24FD" w14:textId="77777777" w:rsidR="00C343B0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4603077</w:t>
            </w: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9DEB8" w14:textId="77777777" w:rsidR="00C343B0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TÉCNICAS DE  CARACTERIZACIÓN MOLECULAR I</w:t>
            </w:r>
          </w:p>
        </w:tc>
      </w:tr>
      <w:tr w:rsidR="00C343B0" w14:paraId="7339EFC3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294C2A75" w14:textId="77777777" w:rsidR="00C343B0" w:rsidRDefault="00C343B0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6A059535" w14:textId="77777777" w:rsidR="00C343B0" w:rsidRDefault="00C343B0">
            <w:pPr>
              <w:rPr>
                <w:rFonts w:ascii="Arial" w:eastAsia="Arial" w:hAnsi="Arial" w:cs="Arial"/>
              </w:rPr>
            </w:pPr>
          </w:p>
        </w:tc>
      </w:tr>
      <w:tr w:rsidR="00C343B0" w14:paraId="628DC29F" w14:textId="77777777">
        <w:trPr>
          <w:trHeight w:val="9241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0000F" w14:textId="77777777" w:rsidR="00C343B0" w:rsidRDefault="00C343B0">
            <w:pPr>
              <w:jc w:val="both"/>
              <w:rPr>
                <w:rFonts w:ascii="Arial" w:eastAsia="Arial" w:hAnsi="Arial" w:cs="Arial"/>
              </w:rPr>
            </w:pPr>
          </w:p>
          <w:p w14:paraId="4AFEE86F" w14:textId="5393D37C" w:rsidR="00C343B0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El alumnado utilizará</w:t>
            </w:r>
            <w:r>
              <w:rPr>
                <w:rFonts w:ascii="Arial" w:eastAsia="Arial" w:hAnsi="Arial" w:cs="Arial"/>
              </w:rPr>
              <w:t xml:space="preserve"> una bitácora personal para anotar sus observaciones y a partir de allí elaborarán un reporte de actividades con las secciones de antecedentes, metodología y sus fundamentos teóricos, resultados, análisis, conclusiones y bibliografía consultada. Se procurará que algunos de los conceptos aprendidos en otras UEA puedan relacionarse e integrarse en las sesiones teóricas y en las experimentales. También se procurará que los conceptos discutidos tengan aplicabilidad directa en las técnicas de esta UEA y de las subsecuentes.</w:t>
            </w:r>
          </w:p>
          <w:p w14:paraId="69252CD0" w14:textId="52350F90" w:rsidR="007B2362" w:rsidRDefault="007B2362">
            <w:pPr>
              <w:jc w:val="both"/>
              <w:rPr>
                <w:rFonts w:ascii="Arial" w:eastAsia="Arial" w:hAnsi="Arial" w:cs="Arial"/>
              </w:rPr>
            </w:pPr>
          </w:p>
          <w:p w14:paraId="5397ED3B" w14:textId="77777777" w:rsidR="007B2362" w:rsidRPr="007B2362" w:rsidRDefault="007B2362" w:rsidP="007B2362">
            <w:pPr>
              <w:shd w:val="clear" w:color="auto" w:fill="FFFFFF"/>
              <w:jc w:val="both"/>
              <w:rPr>
                <w:color w:val="FF0000"/>
                <w:position w:val="0"/>
                <w:lang w:eastAsia="es-MX"/>
              </w:rPr>
            </w:pPr>
            <w:r w:rsidRPr="007B2362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0674CE9F" w14:textId="77777777" w:rsidR="007B2362" w:rsidRPr="007B2362" w:rsidRDefault="007B2362" w:rsidP="007B2362">
            <w:pPr>
              <w:shd w:val="clear" w:color="auto" w:fill="FFFFFF"/>
              <w:jc w:val="both"/>
              <w:rPr>
                <w:color w:val="FF0000"/>
              </w:rPr>
            </w:pPr>
            <w:r w:rsidRPr="007B2362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7B2362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7B2362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7B2362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trimestre.</w:t>
            </w:r>
          </w:p>
          <w:p w14:paraId="58A2E5A5" w14:textId="77777777" w:rsidR="007B2362" w:rsidRDefault="007B2362">
            <w:pPr>
              <w:jc w:val="both"/>
              <w:rPr>
                <w:rFonts w:ascii="Arial" w:eastAsia="Arial" w:hAnsi="Arial" w:cs="Arial"/>
              </w:rPr>
            </w:pPr>
          </w:p>
          <w:p w14:paraId="3027D1E0" w14:textId="77777777" w:rsidR="00C343B0" w:rsidRDefault="00C343B0">
            <w:pPr>
              <w:jc w:val="both"/>
              <w:rPr>
                <w:rFonts w:ascii="Arial" w:eastAsia="Arial" w:hAnsi="Arial" w:cs="Arial"/>
              </w:rPr>
            </w:pPr>
          </w:p>
          <w:p w14:paraId="02AB5944" w14:textId="77777777" w:rsidR="00C343B0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028C45D9" w14:textId="77777777" w:rsidR="00C343B0" w:rsidRDefault="00C343B0">
            <w:pPr>
              <w:jc w:val="both"/>
              <w:rPr>
                <w:rFonts w:ascii="Arial" w:eastAsia="Arial" w:hAnsi="Arial" w:cs="Arial"/>
              </w:rPr>
            </w:pPr>
          </w:p>
          <w:p w14:paraId="5A603587" w14:textId="77777777" w:rsidR="00C343B0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37F26683" w14:textId="77777777" w:rsidR="00C343B0" w:rsidRDefault="00C343B0">
            <w:pPr>
              <w:jc w:val="both"/>
              <w:rPr>
                <w:rFonts w:ascii="Arial" w:eastAsia="Arial" w:hAnsi="Arial" w:cs="Arial"/>
              </w:rPr>
            </w:pPr>
          </w:p>
          <w:p w14:paraId="6953860E" w14:textId="77777777" w:rsidR="00C343B0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444AB874" w14:textId="77777777" w:rsidR="00C343B0" w:rsidRDefault="00C343B0">
            <w:pPr>
              <w:jc w:val="both"/>
              <w:rPr>
                <w:rFonts w:ascii="Arial" w:eastAsia="Arial" w:hAnsi="Arial" w:cs="Arial"/>
              </w:rPr>
            </w:pPr>
          </w:p>
          <w:p w14:paraId="01930D2A" w14:textId="77777777" w:rsidR="00C343B0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016CC1A1" w14:textId="77777777" w:rsidR="00C343B0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444CE7E6" w14:textId="77777777" w:rsidR="00C343B0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 y en equipo.</w:t>
            </w:r>
          </w:p>
          <w:p w14:paraId="5569408D" w14:textId="77777777" w:rsidR="00C343B0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41DE3238" w14:textId="77777777" w:rsidR="00C343B0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043975C0" w14:textId="77777777" w:rsidR="00C343B0" w:rsidRDefault="00C343B0">
            <w:pPr>
              <w:jc w:val="both"/>
              <w:rPr>
                <w:rFonts w:ascii="Arial" w:eastAsia="Arial" w:hAnsi="Arial" w:cs="Arial"/>
              </w:rPr>
            </w:pPr>
          </w:p>
          <w:p w14:paraId="2B66ED57" w14:textId="77777777" w:rsidR="00C343B0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26ABEAFD" w14:textId="77777777" w:rsidR="00C343B0" w:rsidRDefault="00C343B0">
            <w:pPr>
              <w:jc w:val="both"/>
              <w:rPr>
                <w:rFonts w:ascii="Arial" w:eastAsia="Arial" w:hAnsi="Arial" w:cs="Arial"/>
              </w:rPr>
            </w:pPr>
          </w:p>
          <w:p w14:paraId="2C62B138" w14:textId="77777777" w:rsidR="00C343B0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teórica-experimental que sea objetiva y contemple todos los contenidos de la UEA.</w:t>
            </w:r>
          </w:p>
          <w:p w14:paraId="61358BDB" w14:textId="77777777" w:rsidR="00C343B0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Requiere inscripción previa a la UEA.</w:t>
            </w:r>
          </w:p>
          <w:p w14:paraId="5E433A95" w14:textId="77777777" w:rsidR="00C343B0" w:rsidRDefault="00C343B0">
            <w:pPr>
              <w:ind w:right="284"/>
              <w:jc w:val="both"/>
              <w:rPr>
                <w:rFonts w:ascii="Arial" w:eastAsia="Arial" w:hAnsi="Arial" w:cs="Arial"/>
              </w:rPr>
            </w:pPr>
          </w:p>
          <w:p w14:paraId="542B40CB" w14:textId="77777777" w:rsidR="00C343B0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1A617D58" w14:textId="77777777" w:rsidR="00C343B0" w:rsidRDefault="00C343B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  <w:p w14:paraId="29126B64" w14:textId="77777777" w:rsidR="00C343B0" w:rsidRDefault="00000000">
            <w:pPr>
              <w:numPr>
                <w:ilvl w:val="0"/>
                <w:numId w:val="5"/>
              </w:numPr>
              <w:ind w:left="318" w:hanging="284"/>
              <w:jc w:val="both"/>
              <w:rPr>
                <w:rFonts w:ascii="Arial" w:eastAsia="Arial" w:hAnsi="Arial" w:cs="Arial"/>
              </w:rPr>
            </w:pPr>
            <w:r w:rsidRPr="007B2362">
              <w:rPr>
                <w:rFonts w:ascii="Arial" w:eastAsia="Arial" w:hAnsi="Arial" w:cs="Arial"/>
                <w:lang w:val="en-US"/>
              </w:rPr>
              <w:t xml:space="preserve">Cantor, R. y Schimmel, P. R. Biophysical chemistry. Part II. Techniques for the study of biological structure and function. </w:t>
            </w:r>
            <w:r>
              <w:rPr>
                <w:rFonts w:ascii="Arial" w:eastAsia="Arial" w:hAnsi="Arial" w:cs="Arial"/>
              </w:rPr>
              <w:t>Estados Unidos. W. H. Freeman and Co. 1980.</w:t>
            </w:r>
          </w:p>
          <w:p w14:paraId="42AEADAD" w14:textId="77777777" w:rsidR="00C343B0" w:rsidRDefault="00000000">
            <w:pPr>
              <w:numPr>
                <w:ilvl w:val="0"/>
                <w:numId w:val="5"/>
              </w:numPr>
              <w:ind w:left="318" w:hanging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Kuehl, R. O. Diseño de experimentos. 2a. edición. México. Thomson. 2001.</w:t>
            </w:r>
          </w:p>
          <w:p w14:paraId="4249913A" w14:textId="77777777" w:rsidR="00C343B0" w:rsidRDefault="00000000">
            <w:pPr>
              <w:numPr>
                <w:ilvl w:val="0"/>
                <w:numId w:val="5"/>
              </w:numPr>
              <w:ind w:left="318" w:hanging="284"/>
              <w:jc w:val="both"/>
              <w:rPr>
                <w:rFonts w:ascii="Arial" w:eastAsia="Arial" w:hAnsi="Arial" w:cs="Arial"/>
              </w:rPr>
            </w:pPr>
            <w:r w:rsidRPr="007B2362">
              <w:rPr>
                <w:rFonts w:ascii="Arial" w:eastAsia="Arial" w:hAnsi="Arial" w:cs="Arial"/>
                <w:lang w:val="en-US"/>
              </w:rPr>
              <w:t xml:space="preserve">Montgomery, D. C. </w:t>
            </w:r>
            <w:proofErr w:type="gramStart"/>
            <w:r w:rsidRPr="007B2362">
              <w:rPr>
                <w:rFonts w:ascii="Arial" w:eastAsia="Arial" w:hAnsi="Arial" w:cs="Arial"/>
                <w:lang w:val="en-US"/>
              </w:rPr>
              <w:t>Design</w:t>
            </w:r>
            <w:proofErr w:type="gramEnd"/>
            <w:r w:rsidRPr="007B2362">
              <w:rPr>
                <w:rFonts w:ascii="Arial" w:eastAsia="Arial" w:hAnsi="Arial" w:cs="Arial"/>
                <w:lang w:val="en-US"/>
              </w:rPr>
              <w:t xml:space="preserve"> and analysis of experiments. </w:t>
            </w:r>
            <w:r>
              <w:rPr>
                <w:rFonts w:ascii="Arial" w:eastAsia="Arial" w:hAnsi="Arial" w:cs="Arial"/>
              </w:rPr>
              <w:t>Estados Unidos. John Wiley &amp; Sons, Inc. 2005.</w:t>
            </w:r>
          </w:p>
          <w:p w14:paraId="1B552D92" w14:textId="77777777" w:rsidR="00C343B0" w:rsidRDefault="00000000">
            <w:pPr>
              <w:numPr>
                <w:ilvl w:val="0"/>
                <w:numId w:val="5"/>
              </w:numPr>
              <w:ind w:left="318" w:hanging="284"/>
              <w:jc w:val="both"/>
              <w:rPr>
                <w:rFonts w:ascii="Arial" w:eastAsia="Arial" w:hAnsi="Arial" w:cs="Arial"/>
              </w:rPr>
            </w:pPr>
            <w:r w:rsidRPr="007B2362">
              <w:rPr>
                <w:rFonts w:ascii="Arial" w:eastAsia="Arial" w:hAnsi="Arial" w:cs="Arial"/>
                <w:lang w:val="en-US"/>
              </w:rPr>
              <w:t xml:space="preserve">Shirley, B. A. Protein stability and folding. </w:t>
            </w:r>
            <w:r>
              <w:rPr>
                <w:rFonts w:ascii="Arial" w:eastAsia="Arial" w:hAnsi="Arial" w:cs="Arial"/>
              </w:rPr>
              <w:t>Theory and practice. Estados Unidos. Humana Press. 1995.</w:t>
            </w:r>
          </w:p>
          <w:p w14:paraId="2DC2092A" w14:textId="77777777" w:rsidR="00C343B0" w:rsidRDefault="00000000">
            <w:pPr>
              <w:numPr>
                <w:ilvl w:val="0"/>
                <w:numId w:val="5"/>
              </w:numPr>
              <w:ind w:left="318" w:hanging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Silverstein, R. M. et al. </w:t>
            </w:r>
            <w:r w:rsidRPr="007B2362">
              <w:rPr>
                <w:rFonts w:ascii="Arial" w:eastAsia="Arial" w:hAnsi="Arial" w:cs="Arial"/>
                <w:lang w:val="en-US"/>
              </w:rPr>
              <w:t xml:space="preserve">Spectrometric identification of organic compounds. </w:t>
            </w:r>
            <w:r>
              <w:rPr>
                <w:rFonts w:ascii="Arial" w:eastAsia="Arial" w:hAnsi="Arial" w:cs="Arial"/>
              </w:rPr>
              <w:t xml:space="preserve">7a. edición. Estados Unidos. John Wiley &amp; Sons. 2005. </w:t>
            </w:r>
          </w:p>
          <w:p w14:paraId="07E662E8" w14:textId="77777777" w:rsidR="00C343B0" w:rsidRDefault="00000000">
            <w:pPr>
              <w:numPr>
                <w:ilvl w:val="0"/>
                <w:numId w:val="5"/>
              </w:numPr>
              <w:ind w:left="318" w:hanging="284"/>
              <w:jc w:val="both"/>
              <w:rPr>
                <w:rFonts w:ascii="Arial" w:eastAsia="Arial" w:hAnsi="Arial" w:cs="Arial"/>
              </w:rPr>
            </w:pPr>
            <w:r w:rsidRPr="007B2362">
              <w:rPr>
                <w:rFonts w:ascii="Arial" w:eastAsia="Arial" w:hAnsi="Arial" w:cs="Arial"/>
                <w:lang w:val="en-US"/>
              </w:rPr>
              <w:t xml:space="preserve">Skoog, D. A. et al. </w:t>
            </w:r>
            <w:r>
              <w:rPr>
                <w:rFonts w:ascii="Arial" w:eastAsia="Arial" w:hAnsi="Arial" w:cs="Arial"/>
              </w:rPr>
              <w:t>Principios de análisis instrumental. 6a edición. México. Cengage Learning. 2009.</w:t>
            </w:r>
          </w:p>
          <w:p w14:paraId="2C6D1F2C" w14:textId="77777777" w:rsidR="00C343B0" w:rsidRDefault="00000000">
            <w:pPr>
              <w:numPr>
                <w:ilvl w:val="0"/>
                <w:numId w:val="5"/>
              </w:numPr>
              <w:ind w:left="318" w:hanging="284"/>
              <w:jc w:val="both"/>
              <w:rPr>
                <w:rFonts w:ascii="Arial" w:eastAsia="Arial" w:hAnsi="Arial" w:cs="Arial"/>
              </w:rPr>
            </w:pPr>
            <w:r w:rsidRPr="007B2362">
              <w:rPr>
                <w:rFonts w:ascii="Arial" w:eastAsia="Arial" w:hAnsi="Arial" w:cs="Arial"/>
                <w:lang w:val="en-US"/>
              </w:rPr>
              <w:t xml:space="preserve">Skoog, D. A. et al. </w:t>
            </w:r>
            <w:r>
              <w:rPr>
                <w:rFonts w:ascii="Arial" w:eastAsia="Arial" w:hAnsi="Arial" w:cs="Arial"/>
              </w:rPr>
              <w:t>Fundamentos de química analítica. 8a. edición. México. Cengage Learning. 2005.</w:t>
            </w:r>
          </w:p>
          <w:p w14:paraId="715199FF" w14:textId="77777777" w:rsidR="00C343B0" w:rsidRDefault="00C343B0">
            <w:pPr>
              <w:ind w:left="34" w:firstLine="0"/>
              <w:jc w:val="both"/>
              <w:rPr>
                <w:rFonts w:ascii="Arial" w:eastAsia="Arial" w:hAnsi="Arial" w:cs="Arial"/>
              </w:rPr>
            </w:pPr>
          </w:p>
        </w:tc>
      </w:tr>
    </w:tbl>
    <w:p w14:paraId="737038AE" w14:textId="77777777" w:rsidR="00C343B0" w:rsidRDefault="00C343B0">
      <w:pPr>
        <w:jc w:val="right"/>
        <w:rPr>
          <w:rFonts w:ascii="Arial" w:eastAsia="Arial" w:hAnsi="Arial" w:cs="Arial"/>
          <w:sz w:val="16"/>
          <w:szCs w:val="16"/>
        </w:rPr>
      </w:pPr>
    </w:p>
    <w:sectPr w:rsidR="00C343B0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61B95"/>
    <w:multiLevelType w:val="multilevel"/>
    <w:tmpl w:val="A3F8FCDE"/>
    <w:lvl w:ilvl="0">
      <w:start w:val="1"/>
      <w:numFmt w:val="decimal"/>
      <w:lvlText w:val="%1."/>
      <w:lvlJc w:val="left"/>
      <w:pPr>
        <w:ind w:left="54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2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7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4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304" w:hanging="180"/>
      </w:pPr>
      <w:rPr>
        <w:vertAlign w:val="baseline"/>
      </w:rPr>
    </w:lvl>
  </w:abstractNum>
  <w:abstractNum w:abstractNumId="1" w15:restartNumberingAfterBreak="0">
    <w:nsid w:val="1C727BFC"/>
    <w:multiLevelType w:val="multilevel"/>
    <w:tmpl w:val="A4BEBCE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56540FBA"/>
    <w:multiLevelType w:val="multilevel"/>
    <w:tmpl w:val="2D80D228"/>
    <w:lvl w:ilvl="0">
      <w:start w:val="1"/>
      <w:numFmt w:val="decimal"/>
      <w:pStyle w:val="Estilo5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6038167E"/>
    <w:multiLevelType w:val="multilevel"/>
    <w:tmpl w:val="18A6012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" w15:restartNumberingAfterBreak="0">
    <w:nsid w:val="623900FA"/>
    <w:multiLevelType w:val="multilevel"/>
    <w:tmpl w:val="3798377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357203365">
    <w:abstractNumId w:val="3"/>
  </w:num>
  <w:num w:numId="2" w16cid:durableId="231745068">
    <w:abstractNumId w:val="2"/>
  </w:num>
  <w:num w:numId="3" w16cid:durableId="1751930303">
    <w:abstractNumId w:val="4"/>
  </w:num>
  <w:num w:numId="4" w16cid:durableId="299385036">
    <w:abstractNumId w:val="1"/>
  </w:num>
  <w:num w:numId="5" w16cid:durableId="1677927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3B0"/>
    <w:rsid w:val="007B2362"/>
    <w:rsid w:val="00C34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E03D55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jc w:val="both"/>
      <w:outlineLvl w:val="3"/>
    </w:pPr>
    <w:rPr>
      <w:rFonts w:ascii="Arial" w:hAnsi="Arial" w:cs="Arial"/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rPr>
      <w:lang w:val="es-ES"/>
    </w:rPr>
  </w:style>
  <w:style w:type="character" w:customStyle="1" w:styleId="Estilo1Car">
    <w:name w:val="Estilo1 Car"/>
    <w:rPr>
      <w:rFonts w:ascii="Arial" w:hAnsi="Arial"/>
      <w:b/>
      <w:caps/>
      <w:w w:val="100"/>
      <w:position w:val="-1"/>
      <w:sz w:val="24"/>
      <w:szCs w:val="24"/>
      <w:effect w:val="none"/>
      <w:vertAlign w:val="baseline"/>
      <w:cs w:val="0"/>
      <w:em w:val="none"/>
      <w:lang w:val="es-MX" w:eastAsia="es-ES" w:bidi="ar-SA"/>
    </w:rPr>
  </w:style>
  <w:style w:type="paragraph" w:styleId="Textoindependiente">
    <w:name w:val="Body Text"/>
    <w:basedOn w:val="Normal"/>
    <w:pPr>
      <w:jc w:val="both"/>
    </w:pPr>
    <w:rPr>
      <w:sz w:val="24"/>
      <w:szCs w:val="24"/>
      <w:lang w:val="es-ES"/>
    </w:rPr>
  </w:style>
  <w:style w:type="paragraph" w:customStyle="1" w:styleId="Estilo5">
    <w:name w:val="Estilo5"/>
    <w:basedOn w:val="Normal"/>
    <w:pPr>
      <w:numPr>
        <w:numId w:val="2"/>
      </w:numPr>
      <w:ind w:left="-1" w:right="646" w:hanging="1"/>
      <w:jc w:val="both"/>
    </w:pPr>
    <w:rPr>
      <w:rFonts w:ascii="Arial" w:hAnsi="Arial" w:cs="Arial"/>
      <w:color w:val="000000"/>
    </w:rPr>
  </w:style>
  <w:style w:type="paragraph" w:styleId="Sangradetextonormal">
    <w:name w:val="Body Text Indent"/>
    <w:basedOn w:val="Normal"/>
    <w:pPr>
      <w:ind w:left="404"/>
    </w:pPr>
    <w:rPr>
      <w:rFonts w:ascii="Arial" w:hAnsi="Arial" w:cs="Arial"/>
    </w:rPr>
  </w:style>
  <w:style w:type="paragraph" w:customStyle="1" w:styleId="Estilo1">
    <w:name w:val="Estilo1"/>
    <w:basedOn w:val="Normal"/>
    <w:pPr>
      <w:spacing w:before="120" w:after="120"/>
      <w:jc w:val="both"/>
    </w:pPr>
    <w:rPr>
      <w:rFonts w:ascii="Arial" w:hAnsi="Arial"/>
      <w:b/>
      <w:caps/>
    </w:rPr>
  </w:style>
  <w:style w:type="paragraph" w:customStyle="1" w:styleId="Estilo2">
    <w:name w:val="Estilo2"/>
    <w:basedOn w:val="Normal"/>
    <w:pPr>
      <w:spacing w:before="120"/>
      <w:jc w:val="center"/>
    </w:pPr>
    <w:rPr>
      <w:rFonts w:ascii="Arial" w:hAnsi="Arial"/>
      <w:b/>
      <w:lang/>
    </w:rPr>
  </w:style>
  <w:style w:type="character" w:customStyle="1" w:styleId="Estilo2Car">
    <w:name w:val="Estilo2 Car"/>
    <w:rPr>
      <w:rFonts w:ascii="Arial" w:hAnsi="Arial"/>
      <w:b/>
      <w:w w:val="100"/>
      <w:position w:val="-1"/>
      <w:effect w:val="none"/>
      <w:vertAlign w:val="baseline"/>
      <w:cs w:val="0"/>
      <w:em w:val="none"/>
      <w:lang w:eastAsia="es-ES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customStyle="1" w:styleId="Sombreadovistoso-nfasis31">
    <w:name w:val="Sombreado vistoso - Énfasis 31"/>
    <w:basedOn w:val="Normal"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7B2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867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h8PCRcxvep1hw5hyUQDb8CwraQ==">AMUW2mX3foqRhaWrb3wtffn70+9zuJ64AKDeajXztPvApio1w9t+XNPtdODZ52fGWy4qUCY3hKQJ7dsUd3QPKFc2NXueQdpiS4DLhbFRTLAkwgLccqCdtiJSO6QqmL+vc0+Mo8zt9SiA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740</Words>
  <Characters>4074</Characters>
  <Application>Microsoft Office Word</Application>
  <DocSecurity>0</DocSecurity>
  <Lines>33</Lines>
  <Paragraphs>9</Paragraphs>
  <ScaleCrop>false</ScaleCrop>
  <Company/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2022-06-29T02:00:00Z</dcterms:created>
  <dcterms:modified xsi:type="dcterms:W3CDTF">2022-10-21T19:08:00Z</dcterms:modified>
</cp:coreProperties>
</file>