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8D6D" w14:textId="77777777" w:rsidR="00CA592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419A5E13" wp14:editId="5A17D48B">
            <wp:extent cx="5844540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EB6F2E" w14:textId="77777777" w:rsidR="00CA5925" w:rsidRDefault="00CA59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433"/>
        <w:gridCol w:w="1731"/>
      </w:tblGrid>
      <w:tr w:rsidR="00CA5925" w14:paraId="2E26C916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5E1516B8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A1576F8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vAlign w:val="center"/>
          </w:tcPr>
          <w:p w14:paraId="5481F809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19155959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vAlign w:val="center"/>
          </w:tcPr>
          <w:p w14:paraId="63116A45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CA5925" w14:paraId="1E28B627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20FD19AD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28CEBCAB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CA5925" w14:paraId="6B76ADAE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AE0BB54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A7F5218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4603010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7D2E9F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A7263AC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166BC7E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EQUILIBRIO Y CINÉTICA QUÍMICA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D59DCC1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CA5925" w14:paraId="2ACB38C3" w14:textId="77777777">
        <w:trPr>
          <w:cantSplit/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2F1D6AF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5D5C2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AA659AF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CA5925" w14:paraId="0E0DD83D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14D4E6E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DC6B7A4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7FD4B5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2210248F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0573EB7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CA5925" w14:paraId="27F2DF51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42D42E6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C47E0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00E1971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A5925" w14:paraId="48B5C84E" w14:textId="77777777">
        <w:trPr>
          <w:cantSplit/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6DE30B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31ABF4D0" w14:textId="77777777" w:rsidR="00CA592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DBA4E8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1522DDA" w14:textId="77777777" w:rsidR="00CA5925" w:rsidRDefault="00CA5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A5925" w14:paraId="1B7F9E1D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0D23674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CA5925" w14:paraId="2DE20FD6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09E18B31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2CA58ED0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66647FA3" w14:textId="77777777" w:rsidR="00CA5925" w:rsidRDefault="00CA5925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38819001" w14:textId="77777777" w:rsidR="00CA5925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5D7E5B37" w14:textId="77777777" w:rsidR="00CA5925" w:rsidRDefault="00CA5925">
            <w:pPr>
              <w:rPr>
                <w:rFonts w:ascii="Arial" w:eastAsia="Arial" w:hAnsi="Arial" w:cs="Arial"/>
                <w:color w:val="FF0000"/>
              </w:rPr>
            </w:pPr>
          </w:p>
          <w:p w14:paraId="537E398D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C72B7A2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formalismos termodinámicos del equilibrio y cinética a casos y situaciones de interés para las ciencias biológicas.</w:t>
            </w:r>
          </w:p>
          <w:p w14:paraId="47FB7A6C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15946065" w14:textId="77777777" w:rsidR="00CA592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7842D064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36417408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ser capaz de:</w:t>
            </w:r>
          </w:p>
          <w:p w14:paraId="080D195F" w14:textId="77777777" w:rsidR="00CA592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la teoría cinética y los conceptos de equilibrio a las ciencias biológicas.</w:t>
            </w:r>
          </w:p>
          <w:p w14:paraId="79930968" w14:textId="77777777" w:rsidR="00CA592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la relación termodinámica entre equilibrio y cinética aplicada a sistemas químicos y biológicos.</w:t>
            </w:r>
          </w:p>
          <w:p w14:paraId="18DCC7F4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646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8EFA824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4D125860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53D538E9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Importancia de la teoría cinética en las ciencias químicas y biológicas.</w:t>
            </w:r>
          </w:p>
          <w:p w14:paraId="35F51AE9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Reacciones elementales.</w:t>
            </w:r>
          </w:p>
          <w:p w14:paraId="17163570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Velocidad y orden de reacción.</w:t>
            </w:r>
          </w:p>
          <w:p w14:paraId="4A0CC687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Energía de activación y estado de transición.</w:t>
            </w:r>
          </w:p>
          <w:p w14:paraId="672915C3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Equilibrio químico.</w:t>
            </w:r>
          </w:p>
          <w:p w14:paraId="2E34C92F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Propiedades coligativas.</w:t>
            </w:r>
          </w:p>
          <w:p w14:paraId="3A16E6C4" w14:textId="77777777" w:rsidR="00CA5925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Aplicaciones de equilibrio y cinética a sistemas biológicos.</w:t>
            </w:r>
          </w:p>
          <w:p w14:paraId="1B9FCD1D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5C8C9831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18B774A8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5103173D" w14:textId="77777777" w:rsidR="00CA592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E9F6090" w14:textId="77777777" w:rsidR="00CA592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4348799C" w14:textId="77777777" w:rsidR="00CA592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E6E34E8" w14:textId="77777777" w:rsidR="00CA592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74F07CF3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48F659DB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alumno realizará extraclase.</w:t>
            </w:r>
          </w:p>
        </w:tc>
      </w:tr>
      <w:tr w:rsidR="00CA5925" w14:paraId="3D556070" w14:textId="77777777">
        <w:trPr>
          <w:trHeight w:val="58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4864016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CA5925" w14:paraId="11B9FEEE" w14:textId="77777777">
        <w:tc>
          <w:tcPr>
            <w:tcW w:w="7655" w:type="dxa"/>
            <w:gridSpan w:val="5"/>
            <w:tcBorders>
              <w:bottom w:val="single" w:sz="4" w:space="0" w:color="000000"/>
            </w:tcBorders>
            <w:vAlign w:val="center"/>
          </w:tcPr>
          <w:p w14:paraId="0F61775E" w14:textId="77777777" w:rsidR="00CA5925" w:rsidRDefault="00CA5925">
            <w:pPr>
              <w:rPr>
                <w:rFonts w:ascii="Arial" w:eastAsia="Arial" w:hAnsi="Arial" w:cs="Arial"/>
              </w:rPr>
            </w:pPr>
          </w:p>
          <w:p w14:paraId="292CF9FC" w14:textId="77777777" w:rsidR="00CA592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D7F1229" w14:textId="77777777" w:rsidR="00CA5925" w:rsidRDefault="00CA5925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4EE89206" w14:textId="77777777" w:rsidR="00CA5925" w:rsidRDefault="00CA5925">
            <w:pPr>
              <w:jc w:val="center"/>
              <w:rPr>
                <w:rFonts w:ascii="Arial" w:eastAsia="Arial" w:hAnsi="Arial" w:cs="Arial"/>
              </w:rPr>
            </w:pPr>
          </w:p>
          <w:p w14:paraId="4B36D5EF" w14:textId="77777777" w:rsidR="00CA5925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CA5925" w14:paraId="6C5D0373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775A06B" w14:textId="77777777" w:rsidR="00CA592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4603010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6697E5F0" w14:textId="77777777" w:rsidR="00CA592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EQUILIBRIO Y CINÉTICA QUÍMICA</w:t>
            </w:r>
          </w:p>
        </w:tc>
      </w:tr>
      <w:tr w:rsidR="00CA5925" w14:paraId="5C059175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75A35C2" w14:textId="77777777" w:rsidR="00CA5925" w:rsidRDefault="00CA5925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ACD2B5D" w14:textId="77777777" w:rsidR="00CA5925" w:rsidRDefault="00CA5925">
            <w:pPr>
              <w:rPr>
                <w:rFonts w:ascii="Arial" w:eastAsia="Arial" w:hAnsi="Arial" w:cs="Arial"/>
              </w:rPr>
            </w:pPr>
          </w:p>
        </w:tc>
      </w:tr>
      <w:tr w:rsidR="00CA5925" w14:paraId="200899D5" w14:textId="77777777">
        <w:trPr>
          <w:trHeight w:val="8391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CAA2D50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079940EA" w14:textId="01608226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3DA62AC7" w14:textId="4DE36222" w:rsidR="006F6A77" w:rsidRDefault="006F6A77" w:rsidP="006F6A77">
            <w:pPr>
              <w:ind w:leftChars="0" w:left="0" w:firstLineChars="0" w:firstLine="0"/>
              <w:jc w:val="both"/>
              <w:rPr>
                <w:rFonts w:ascii="Arial" w:eastAsia="Arial" w:hAnsi="Arial" w:cs="Arial"/>
              </w:rPr>
            </w:pPr>
          </w:p>
          <w:p w14:paraId="045776F8" w14:textId="77777777" w:rsidR="006F6A77" w:rsidRPr="006F6A77" w:rsidRDefault="006F6A77" w:rsidP="006F6A77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6F6A77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A7BBCC5" w14:textId="77777777" w:rsidR="006F6A77" w:rsidRPr="006F6A77" w:rsidRDefault="006F6A77" w:rsidP="006F6A77">
            <w:pPr>
              <w:shd w:val="clear" w:color="auto" w:fill="FFFFFF"/>
              <w:jc w:val="both"/>
              <w:rPr>
                <w:color w:val="FF0000"/>
              </w:rPr>
            </w:pPr>
            <w:r w:rsidRPr="006F6A77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6F6A77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6F6A77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6F6A77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27387F74" w14:textId="77777777" w:rsidR="006F6A77" w:rsidRDefault="006F6A77" w:rsidP="006F6A77">
            <w:pPr>
              <w:ind w:leftChars="0" w:left="0" w:firstLineChars="0" w:firstLine="0"/>
              <w:jc w:val="both"/>
              <w:rPr>
                <w:rFonts w:ascii="Arial" w:eastAsia="Arial" w:hAnsi="Arial" w:cs="Arial"/>
              </w:rPr>
            </w:pPr>
          </w:p>
          <w:p w14:paraId="1D5C053C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6E41996C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65A7C123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6FA9541F" w14:textId="77777777" w:rsidR="00CA5925" w:rsidRDefault="0000000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Global:</w:t>
            </w:r>
          </w:p>
          <w:p w14:paraId="4E0D257E" w14:textId="77777777" w:rsidR="00CA5925" w:rsidRDefault="00CA5925">
            <w:pPr>
              <w:rPr>
                <w:rFonts w:ascii="Arial" w:eastAsia="Arial" w:hAnsi="Arial" w:cs="Arial"/>
              </w:rPr>
            </w:pPr>
          </w:p>
          <w:p w14:paraId="696432E7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4401C9D8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13A93BF6" w14:textId="77777777" w:rsidR="00CA592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E6E13B3" w14:textId="77777777" w:rsidR="00CA592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3FF690DF" w14:textId="77777777" w:rsidR="00CA592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7120827E" w14:textId="77777777" w:rsidR="00CA592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73B008E" w14:textId="77777777" w:rsidR="00CA5925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7D9106E6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FC2920D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2669D72A" w14:textId="77777777" w:rsidR="00CA5925" w:rsidRDefault="00CA5925">
            <w:pPr>
              <w:jc w:val="both"/>
              <w:rPr>
                <w:rFonts w:ascii="Arial" w:eastAsia="Arial" w:hAnsi="Arial" w:cs="Arial"/>
              </w:rPr>
            </w:pPr>
          </w:p>
          <w:p w14:paraId="457022F3" w14:textId="77777777" w:rsidR="00CA5925" w:rsidRDefault="00000000">
            <w:pPr>
              <w:numPr>
                <w:ilvl w:val="0"/>
                <w:numId w:val="2"/>
              </w:numPr>
              <w:tabs>
                <w:tab w:val="left" w:pos="284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9F9A30F" w14:textId="77777777" w:rsidR="00CA5925" w:rsidRDefault="00000000">
            <w:pPr>
              <w:numPr>
                <w:ilvl w:val="0"/>
                <w:numId w:val="2"/>
              </w:numPr>
              <w:tabs>
                <w:tab w:val="left" w:pos="284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78F16E08" w14:textId="77777777" w:rsidR="00CA5925" w:rsidRDefault="00CA5925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61172536" w14:textId="77777777" w:rsidR="00CA592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FFB6FA5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BF6DD69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Atkins, P. W. Química Física. 8a edición. Editorial Médica Panamericana, S.A., 2008.</w:t>
            </w:r>
          </w:p>
          <w:p w14:paraId="4899087E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Avery, H. E. Cinética química básica y mecanismos de reacción. España, Reverté, 2008.</w:t>
            </w:r>
          </w:p>
          <w:p w14:paraId="31E7B3A6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Chang, R. Fisicoquímica para las Ciencias Químicas y Biológicas. 3a edición. México, McGraw-Hill Interamericana, 2008.</w:t>
            </w:r>
          </w:p>
          <w:p w14:paraId="20E3B409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Fonseca, G. L. </w:t>
            </w:r>
            <w:r>
              <w:rPr>
                <w:rFonts w:ascii="Arial" w:eastAsia="Arial" w:hAnsi="Arial" w:cs="Arial"/>
                <w:i/>
                <w:color w:val="000000"/>
              </w:rPr>
              <w:t>et al</w:t>
            </w:r>
            <w:r>
              <w:rPr>
                <w:rFonts w:ascii="Arial" w:eastAsia="Arial" w:hAnsi="Arial" w:cs="Arial"/>
                <w:color w:val="000000"/>
              </w:rPr>
              <w:t>. Cinética química aplicada a los procesos de descomposición de los fármacos. Costa Rica, Editorial Universidad de Costa Rica, 2004.</w:t>
            </w:r>
          </w:p>
          <w:p w14:paraId="5A7E70BE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6F6A77">
              <w:rPr>
                <w:rFonts w:ascii="Arial" w:eastAsia="Arial" w:hAnsi="Arial" w:cs="Arial"/>
                <w:color w:val="000000"/>
                <w:lang w:val="en-US"/>
              </w:rPr>
              <w:t>Hammes</w:t>
            </w:r>
            <w:proofErr w:type="spellEnd"/>
            <w:r w:rsidRPr="006F6A77">
              <w:rPr>
                <w:rFonts w:ascii="Arial" w:eastAsia="Arial" w:hAnsi="Arial" w:cs="Arial"/>
                <w:color w:val="000000"/>
                <w:lang w:val="en-US"/>
              </w:rPr>
              <w:t xml:space="preserve">, G.G. Thermodynamics and kinetics for the biological sciences. </w:t>
            </w:r>
            <w:r>
              <w:rPr>
                <w:rFonts w:ascii="Arial" w:eastAsia="Arial" w:hAnsi="Arial" w:cs="Arial"/>
                <w:color w:val="000000"/>
              </w:rPr>
              <w:t>Estados Unidos, John Wiley, 2000.</w:t>
            </w:r>
          </w:p>
          <w:p w14:paraId="3FB8210F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Izquierdo, J. F. Cinética de las reacciones químicas. España, Ediciones Universitat Barcelona, 2004.</w:t>
            </w:r>
          </w:p>
          <w:p w14:paraId="15D915D7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Logan, S. R. Fundamentos de cinética química. Estados Unidos, Addison Wesley, 2005.</w:t>
            </w:r>
          </w:p>
          <w:p w14:paraId="4427A755" w14:textId="77777777" w:rsidR="00CA5925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6F6A77">
              <w:rPr>
                <w:rFonts w:ascii="Arial" w:eastAsia="Arial" w:hAnsi="Arial" w:cs="Arial"/>
                <w:color w:val="000000"/>
                <w:lang w:val="en-US"/>
              </w:rPr>
              <w:t xml:space="preserve">Sandler, S. I. Chemical, biochemical and engineering thermodynamics. </w:t>
            </w:r>
            <w:r>
              <w:rPr>
                <w:rFonts w:ascii="Arial" w:eastAsia="Arial" w:hAnsi="Arial" w:cs="Arial"/>
                <w:color w:val="000000"/>
              </w:rPr>
              <w:t>4a edición. Estados Unidos, John Wiley, 2006.</w:t>
            </w:r>
          </w:p>
          <w:p w14:paraId="404B33A2" w14:textId="77777777" w:rsidR="00CA5925" w:rsidRDefault="00CA5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5023AE7" w14:textId="77777777" w:rsidR="00CA5925" w:rsidRDefault="00CA5925"/>
    <w:sectPr w:rsidR="00CA5925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12D2D"/>
    <w:multiLevelType w:val="multilevel"/>
    <w:tmpl w:val="BF5832E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2F202915"/>
    <w:multiLevelType w:val="multilevel"/>
    <w:tmpl w:val="7FA0BD5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F311874"/>
    <w:multiLevelType w:val="multilevel"/>
    <w:tmpl w:val="BE509BBE"/>
    <w:lvl w:ilvl="0">
      <w:start w:val="1"/>
      <w:numFmt w:val="bullet"/>
      <w:pStyle w:val="Estilo5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47A2013"/>
    <w:multiLevelType w:val="multilevel"/>
    <w:tmpl w:val="4980015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7D1404B"/>
    <w:multiLevelType w:val="multilevel"/>
    <w:tmpl w:val="6E66BBF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84B1039"/>
    <w:multiLevelType w:val="multilevel"/>
    <w:tmpl w:val="39A49DE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870676339">
    <w:abstractNumId w:val="1"/>
  </w:num>
  <w:num w:numId="2" w16cid:durableId="1185049875">
    <w:abstractNumId w:val="2"/>
  </w:num>
  <w:num w:numId="3" w16cid:durableId="38671694">
    <w:abstractNumId w:val="3"/>
  </w:num>
  <w:num w:numId="4" w16cid:durableId="1468205060">
    <w:abstractNumId w:val="5"/>
  </w:num>
  <w:num w:numId="5" w16cid:durableId="855464048">
    <w:abstractNumId w:val="0"/>
  </w:num>
  <w:num w:numId="6" w16cid:durableId="1962301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925"/>
    <w:rsid w:val="006F6A77"/>
    <w:rsid w:val="00C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ECD62C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character" w:customStyle="1" w:styleId="Estilo1Car">
    <w:name w:val="Estilo1 Car"/>
    <w:rPr>
      <w:rFonts w:ascii="Arial" w:hAnsi="Arial"/>
      <w:b/>
      <w:caps/>
      <w:w w:val="100"/>
      <w:position w:val="-1"/>
      <w:sz w:val="24"/>
      <w:szCs w:val="24"/>
      <w:effect w:val="none"/>
      <w:vertAlign w:val="baseline"/>
      <w:cs w:val="0"/>
      <w:em w:val="none"/>
      <w:lang w:val="es-MX" w:eastAsia="es-ES" w:bidi="ar-SA"/>
    </w:r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numPr>
        <w:numId w:val="2"/>
      </w:numPr>
      <w:spacing w:before="120" w:after="120"/>
      <w:ind w:left="-1" w:right="646" w:hanging="1"/>
      <w:jc w:val="both"/>
    </w:pPr>
    <w:rPr>
      <w:rFonts w:ascii="Arial" w:hAnsi="Arial" w:cs="Arial"/>
      <w:color w:val="000000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Listavistosa-nfasis11">
    <w:name w:val="Lista vistosa - Énfasis 11"/>
    <w:basedOn w:val="Normal"/>
    <w:pPr>
      <w:ind w:left="708"/>
    </w:pPr>
  </w:style>
  <w:style w:type="character" w:styleId="Hipervnculo">
    <w:name w:val="Hyperlink"/>
    <w:qFormat/>
    <w:rPr>
      <w:color w:val="2200CC"/>
      <w:w w:val="100"/>
      <w:position w:val="-1"/>
      <w:u w:val="single"/>
      <w:effect w:val="none"/>
      <w:vertAlign w:val="baseline"/>
      <w:cs w:val="0"/>
      <w:em w:val="none"/>
    </w:rPr>
  </w:style>
  <w:style w:type="paragraph" w:styleId="Encabezado">
    <w:name w:val="header"/>
    <w:basedOn w:val="Normal"/>
    <w:qFormat/>
    <w:pPr>
      <w:tabs>
        <w:tab w:val="center" w:pos="4419"/>
        <w:tab w:val="right" w:pos="8838"/>
      </w:tabs>
    </w:pPr>
    <w:rPr>
      <w:lang/>
    </w:rPr>
  </w:style>
  <w:style w:type="character" w:customStyle="1" w:styleId="EncabezadoCar">
    <w:name w:val="Encabezado Car"/>
    <w:rPr>
      <w:w w:val="100"/>
      <w:position w:val="-1"/>
      <w:effect w:val="none"/>
      <w:vertAlign w:val="baseline"/>
      <w:cs w:val="0"/>
      <w:em w:val="none"/>
      <w:lang w:eastAsia="es-ES"/>
    </w:rPr>
  </w:style>
  <w:style w:type="paragraph" w:styleId="Piedepgina">
    <w:name w:val="footer"/>
    <w:basedOn w:val="Normal"/>
    <w:qFormat/>
    <w:pPr>
      <w:tabs>
        <w:tab w:val="center" w:pos="4419"/>
        <w:tab w:val="right" w:pos="8838"/>
      </w:tabs>
    </w:pPr>
    <w:rPr>
      <w:lang/>
    </w:rPr>
  </w:style>
  <w:style w:type="character" w:customStyle="1" w:styleId="PiedepginaCar">
    <w:name w:val="Pie de página Car"/>
    <w:rPr>
      <w:w w:val="100"/>
      <w:position w:val="-1"/>
      <w:effect w:val="none"/>
      <w:vertAlign w:val="baseline"/>
      <w:cs w:val="0"/>
      <w:em w:val="none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6F6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0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qGUuaC0rkIAwbpB8H4cBC3M51A==">AMUW2mUzBKo3qs0W7M06oNii0T+hQULT7vgEa9IhjqhzaSwX47Jjy/ddXICfaf2zihTh3eewNOVvcOdmYC7EFkp6PlvH+St4g8TR7bGBt/1k8GFwnROIp6QT15VPx4/GmNHFWiWaLDoR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2015-11-24T21:55:00Z</dcterms:created>
  <dcterms:modified xsi:type="dcterms:W3CDTF">2022-10-21T19:24:00Z</dcterms:modified>
</cp:coreProperties>
</file>