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6CC8A" w14:textId="77777777" w:rsidR="00743373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  <w:bookmarkStart w:id="0" w:name="bookmark=id.gjdgxs" w:colFirst="0" w:colLast="0"/>
      <w:bookmarkEnd w:id="0"/>
      <w:r>
        <w:rPr>
          <w:rFonts w:ascii="Arial" w:eastAsia="Arial" w:hAnsi="Arial" w:cs="Arial"/>
          <w:noProof/>
          <w:color w:val="000000"/>
        </w:rPr>
        <w:drawing>
          <wp:inline distT="0" distB="0" distL="114300" distR="114300" wp14:anchorId="00EB25F0" wp14:editId="581B1EF5">
            <wp:extent cx="5848985" cy="493395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8985" cy="4933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8E19476" w14:textId="77777777" w:rsidR="00743373" w:rsidRDefault="007433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7"/>
        <w:gridCol w:w="267"/>
        <w:gridCol w:w="852"/>
        <w:gridCol w:w="4386"/>
        <w:gridCol w:w="575"/>
        <w:gridCol w:w="1589"/>
      </w:tblGrid>
      <w:tr w:rsidR="00743373" w14:paraId="45AC1298" w14:textId="77777777">
        <w:trPr>
          <w:trHeight w:val="517"/>
        </w:trPr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953E6" w14:textId="77777777" w:rsidR="00743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3DE48103" w14:textId="77777777" w:rsidR="00743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61D7F" w14:textId="77777777" w:rsidR="00743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71163699" w14:textId="77777777" w:rsidR="00743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984E4" w14:textId="77777777" w:rsidR="00743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743373" w14:paraId="692A7EFC" w14:textId="77777777">
        <w:trPr>
          <w:trHeight w:val="553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21D1E" w14:textId="77777777" w:rsidR="00743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6A34082C" w14:textId="77777777" w:rsidR="00743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743373" w14:paraId="2F00B293" w14:textId="77777777">
        <w:trPr>
          <w:cantSplit/>
          <w:trHeight w:val="561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56852E" w14:textId="77777777" w:rsidR="00743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7840044F" w14:textId="77777777" w:rsidR="00743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4603069</w:t>
            </w: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2394B" w14:textId="77777777" w:rsidR="00743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498CCFFB" w14:textId="77777777" w:rsidR="00743373" w:rsidRDefault="00743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3A13B2F1" w14:textId="77777777" w:rsidR="00743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INTRODUCCIÓN AL CONTROL DE CALIDAD</w:t>
            </w: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48A77" w14:textId="77777777" w:rsidR="00743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CRÉD.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743373" w14:paraId="25A6D537" w14:textId="77777777">
        <w:trPr>
          <w:cantSplit/>
          <w:trHeight w:val="555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CF85D9" w14:textId="77777777" w:rsidR="00743373" w:rsidRDefault="007433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EA481" w14:textId="77777777" w:rsidR="00743373" w:rsidRDefault="007433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9DE6D" w14:textId="77777777" w:rsidR="00743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</w:t>
            </w:r>
            <w:r>
              <w:rPr>
                <w:rFonts w:ascii="Arial" w:eastAsia="Arial" w:hAnsi="Arial" w:cs="Arial"/>
                <w:b/>
                <w:color w:val="000000"/>
              </w:rPr>
              <w:t>OPT.</w:t>
            </w:r>
          </w:p>
        </w:tc>
      </w:tr>
      <w:tr w:rsidR="00743373" w14:paraId="187A9FB9" w14:textId="77777777">
        <w:trPr>
          <w:cantSplit/>
          <w:trHeight w:val="233"/>
        </w:trPr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E5BC0" w14:textId="77777777" w:rsidR="00743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35229424" w14:textId="77777777" w:rsidR="00743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9F62F" w14:textId="77777777" w:rsidR="00743373" w:rsidRDefault="007433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61907" w14:textId="77777777" w:rsidR="00743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667B04F9" w14:textId="77777777" w:rsidR="00743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IX-XII</w:t>
            </w:r>
          </w:p>
        </w:tc>
      </w:tr>
      <w:tr w:rsidR="00743373" w14:paraId="565F4896" w14:textId="77777777">
        <w:trPr>
          <w:cantSplit/>
          <w:trHeight w:val="350"/>
        </w:trPr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E38D3" w14:textId="77777777" w:rsidR="00743373" w:rsidRDefault="007433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6CE78" w14:textId="77777777" w:rsidR="00743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AUTORIZACIÓN</w:t>
            </w:r>
          </w:p>
          <w:p w14:paraId="638BA6EF" w14:textId="77777777" w:rsidR="00743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AUTORIZACIÓN Y 4000007 Y 4000001 Y 4000008 Y 4600000 Y 220 CRÉDITOS</w:t>
            </w: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01AC1" w14:textId="77777777" w:rsidR="00743373" w:rsidRDefault="007433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743373" w14:paraId="0BC0CE7F" w14:textId="77777777">
        <w:trPr>
          <w:cantSplit/>
          <w:trHeight w:val="415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080AE" w14:textId="77777777" w:rsidR="00743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PRÁC.</w:t>
            </w:r>
          </w:p>
          <w:p w14:paraId="1705530D" w14:textId="77777777" w:rsidR="007433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FEA45" w14:textId="77777777" w:rsidR="00743373" w:rsidRDefault="007433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B3D06" w14:textId="77777777" w:rsidR="00743373" w:rsidRDefault="007433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743373" w14:paraId="72B0C581" w14:textId="77777777"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EBEA444" w14:textId="77777777" w:rsidR="00743373" w:rsidRDefault="00743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743373" w14:paraId="521C2E22" w14:textId="77777777">
        <w:trPr>
          <w:trHeight w:val="9045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C8FF" w14:textId="77777777" w:rsidR="00743373" w:rsidRDefault="00743373">
            <w:pPr>
              <w:tabs>
                <w:tab w:val="left" w:pos="559"/>
              </w:tabs>
              <w:jc w:val="both"/>
              <w:rPr>
                <w:rFonts w:ascii="Arial" w:eastAsia="Arial" w:hAnsi="Arial" w:cs="Arial"/>
              </w:rPr>
            </w:pPr>
          </w:p>
          <w:p w14:paraId="474C9E1A" w14:textId="77777777" w:rsidR="0074337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(S):</w:t>
            </w:r>
          </w:p>
          <w:p w14:paraId="615A1F84" w14:textId="77777777" w:rsidR="00743373" w:rsidRDefault="00743373">
            <w:pPr>
              <w:jc w:val="both"/>
              <w:rPr>
                <w:rFonts w:ascii="Arial" w:eastAsia="Arial" w:hAnsi="Arial" w:cs="Arial"/>
              </w:rPr>
            </w:pPr>
          </w:p>
          <w:p w14:paraId="5977F427" w14:textId="77777777" w:rsidR="00743373" w:rsidRDefault="0000000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14:paraId="69DE56E7" w14:textId="77777777" w:rsidR="00743373" w:rsidRDefault="00743373">
            <w:pPr>
              <w:widowControl w:val="0"/>
              <w:rPr>
                <w:rFonts w:ascii="Arial" w:eastAsia="Arial" w:hAnsi="Arial" w:cs="Arial"/>
              </w:rPr>
            </w:pPr>
          </w:p>
          <w:p w14:paraId="11B8DADA" w14:textId="77777777" w:rsidR="00743373" w:rsidRDefault="00000000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 capaz de:</w:t>
            </w:r>
          </w:p>
          <w:p w14:paraId="7BB08521" w14:textId="77777777" w:rsidR="00743373" w:rsidRDefault="00000000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Conocer los fundamentos en la administración de los procesos, recursos y sistemas involucrados en el aseguramiento de la calidad, aplicables al quehacer clínico e industrial (farmacéutica y alimentos). </w:t>
            </w:r>
          </w:p>
          <w:p w14:paraId="3DF03C13" w14:textId="77777777" w:rsidR="00743373" w:rsidRDefault="00743373">
            <w:pPr>
              <w:widowControl w:val="0"/>
              <w:rPr>
                <w:rFonts w:ascii="Arial" w:eastAsia="Arial" w:hAnsi="Arial" w:cs="Arial"/>
              </w:rPr>
            </w:pPr>
          </w:p>
          <w:p w14:paraId="443D6CC2" w14:textId="77777777" w:rsidR="00743373" w:rsidRDefault="0000000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</w:rPr>
              <w:t>:</w:t>
            </w:r>
          </w:p>
          <w:p w14:paraId="03822FBD" w14:textId="77777777" w:rsidR="00743373" w:rsidRDefault="00743373">
            <w:pPr>
              <w:widowControl w:val="0"/>
              <w:rPr>
                <w:rFonts w:ascii="Arial" w:eastAsia="Arial" w:hAnsi="Arial" w:cs="Arial"/>
              </w:rPr>
            </w:pPr>
          </w:p>
          <w:p w14:paraId="346E104C" w14:textId="77777777" w:rsidR="00743373" w:rsidRDefault="0000000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7D73F4A5" w14:textId="77777777" w:rsidR="00743373" w:rsidRDefault="00000000">
            <w:pPr>
              <w:widowControl w:val="0"/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Entender la filosofía y los conceptos básicos del control de calidad.</w:t>
            </w:r>
          </w:p>
          <w:p w14:paraId="647D5141" w14:textId="77777777" w:rsidR="00743373" w:rsidRDefault="00000000">
            <w:pPr>
              <w:widowControl w:val="0"/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Conocer las bases de los sistemas de calidad y las herramientas estadísticas que sustentan el control de calidad (diagramas elementales, teorías del muestreo, diseño experimental) enfocadas al área clínica e industrial.</w:t>
            </w:r>
          </w:p>
          <w:p w14:paraId="36A3196F" w14:textId="77777777" w:rsidR="00743373" w:rsidRDefault="00000000">
            <w:pPr>
              <w:widowControl w:val="0"/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Comprender el aseguramiento de calidad (planeación-control, documentación).</w:t>
            </w:r>
          </w:p>
          <w:p w14:paraId="2A13839A" w14:textId="77777777" w:rsidR="00743373" w:rsidRDefault="00000000">
            <w:pPr>
              <w:widowControl w:val="0"/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Conocer la regulación sanitaria y la comercialización y elaboración de productos en el área farmacéutica y/o alimentaria.</w:t>
            </w:r>
          </w:p>
          <w:p w14:paraId="49AC8156" w14:textId="77777777" w:rsidR="00743373" w:rsidRDefault="00743373">
            <w:pPr>
              <w:jc w:val="both"/>
              <w:rPr>
                <w:rFonts w:ascii="Arial" w:eastAsia="Arial" w:hAnsi="Arial" w:cs="Arial"/>
              </w:rPr>
            </w:pPr>
          </w:p>
          <w:p w14:paraId="79EAAAA3" w14:textId="77777777" w:rsidR="0074337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3AA12CB8" w14:textId="77777777" w:rsidR="00743373" w:rsidRDefault="00743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  <w:p w14:paraId="543D7246" w14:textId="77777777" w:rsidR="00743373" w:rsidRDefault="00000000">
            <w:pPr>
              <w:widowControl w:val="0"/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Principios y concepto de control de calidad.</w:t>
            </w:r>
          </w:p>
          <w:p w14:paraId="5455C2B1" w14:textId="77777777" w:rsidR="00743373" w:rsidRDefault="00000000">
            <w:pPr>
              <w:widowControl w:val="0"/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Métodos y técnicas para la administración del control de calidad.</w:t>
            </w:r>
          </w:p>
          <w:p w14:paraId="791AE347" w14:textId="77777777" w:rsidR="00743373" w:rsidRDefault="00000000">
            <w:pPr>
              <w:widowControl w:val="0"/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Técnicas de control estadístico de proceso para variables.</w:t>
            </w:r>
          </w:p>
          <w:p w14:paraId="178E18FA" w14:textId="77777777" w:rsidR="00743373" w:rsidRDefault="00000000">
            <w:pPr>
              <w:widowControl w:val="0"/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Técnicas de Muestreo: Muestreo de aceptación de lote por lote, para producción continua y para variables.</w:t>
            </w:r>
          </w:p>
          <w:p w14:paraId="4160DDCD" w14:textId="77777777" w:rsidR="00743373" w:rsidRDefault="00000000">
            <w:pPr>
              <w:widowControl w:val="0"/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Regulación y sistemas de calidad: para fármacos, bioproductos y alimentos.</w:t>
            </w:r>
          </w:p>
          <w:p w14:paraId="3C29D70B" w14:textId="77777777" w:rsidR="00743373" w:rsidRDefault="00000000">
            <w:pPr>
              <w:widowControl w:val="0"/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Buenas prácticas de laboratorio y almacenamiento.</w:t>
            </w:r>
          </w:p>
          <w:p w14:paraId="2C2B851C" w14:textId="77777777" w:rsidR="00743373" w:rsidRDefault="00000000">
            <w:pPr>
              <w:widowControl w:val="0"/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Auditorías.</w:t>
            </w:r>
          </w:p>
          <w:p w14:paraId="1C9E3AEC" w14:textId="77777777" w:rsidR="00743373" w:rsidRDefault="00743373">
            <w:pPr>
              <w:widowControl w:val="0"/>
              <w:rPr>
                <w:rFonts w:ascii="Arial" w:eastAsia="Arial" w:hAnsi="Arial" w:cs="Arial"/>
              </w:rPr>
            </w:pPr>
          </w:p>
          <w:p w14:paraId="7D47289A" w14:textId="77777777" w:rsidR="0074337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2DED96FB" w14:textId="77777777" w:rsidR="00743373" w:rsidRDefault="00743373">
            <w:pPr>
              <w:jc w:val="both"/>
              <w:rPr>
                <w:rFonts w:ascii="Arial" w:eastAsia="Arial" w:hAnsi="Arial" w:cs="Arial"/>
              </w:rPr>
            </w:pPr>
          </w:p>
          <w:p w14:paraId="0EC5D88E" w14:textId="77777777" w:rsidR="00743373" w:rsidRDefault="00000000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UEA se cubrirá principalmente a través de la presentación de los temas mediante exposiciones por parte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En las sesiones prácticas se resolverán problemas y se realizarán experimentos que refuercen los conocimientos adquiridos en áreas específicas así como el trabajo en equipo y la 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>.</w:t>
            </w:r>
          </w:p>
          <w:p w14:paraId="571169FF" w14:textId="77777777" w:rsidR="00743373" w:rsidRDefault="00743373">
            <w:pPr>
              <w:widowControl w:val="0"/>
              <w:jc w:val="both"/>
              <w:rPr>
                <w:rFonts w:ascii="Arial" w:eastAsia="Arial" w:hAnsi="Arial" w:cs="Arial"/>
              </w:rPr>
            </w:pPr>
          </w:p>
        </w:tc>
      </w:tr>
      <w:tr w:rsidR="00743373" w14:paraId="32871261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E22A7AB" w14:textId="77777777" w:rsidR="00743373" w:rsidRDefault="00743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color w:val="000000"/>
              </w:rPr>
            </w:pPr>
          </w:p>
        </w:tc>
      </w:tr>
      <w:tr w:rsidR="00743373" w14:paraId="27325A79" w14:textId="77777777">
        <w:tc>
          <w:tcPr>
            <w:tcW w:w="77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8E31E" w14:textId="77777777" w:rsidR="00743373" w:rsidRDefault="00743373">
            <w:pPr>
              <w:rPr>
                <w:rFonts w:ascii="Arial" w:eastAsia="Arial" w:hAnsi="Arial" w:cs="Arial"/>
              </w:rPr>
            </w:pPr>
          </w:p>
          <w:p w14:paraId="558D9B23" w14:textId="77777777" w:rsidR="00743373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3485721F" w14:textId="77777777" w:rsidR="00743373" w:rsidRDefault="00743373">
            <w:pPr>
              <w:rPr>
                <w:rFonts w:ascii="Arial" w:eastAsia="Arial" w:hAnsi="Arial" w:cs="Arial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7E906" w14:textId="77777777" w:rsidR="00743373" w:rsidRDefault="00743373">
            <w:pPr>
              <w:jc w:val="center"/>
              <w:rPr>
                <w:rFonts w:ascii="Arial" w:eastAsia="Arial" w:hAnsi="Arial" w:cs="Arial"/>
              </w:rPr>
            </w:pPr>
          </w:p>
          <w:p w14:paraId="59337C3F" w14:textId="77777777" w:rsidR="00743373" w:rsidRDefault="0000000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743373" w14:paraId="461FE75F" w14:textId="77777777">
        <w:trPr>
          <w:trHeight w:val="569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5A8C6" w14:textId="77777777" w:rsidR="00743373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CLAVE   </w:t>
            </w:r>
            <w:r>
              <w:rPr>
                <w:rFonts w:ascii="Arial" w:eastAsia="Arial" w:hAnsi="Arial" w:cs="Arial"/>
                <w:b/>
              </w:rPr>
              <w:t>4603069</w:t>
            </w: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8A573" w14:textId="77777777" w:rsidR="00743373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INTRODUCCIÓN AL CONTROL DE CALIDAD</w:t>
            </w:r>
          </w:p>
        </w:tc>
      </w:tr>
      <w:tr w:rsidR="00743373" w14:paraId="36E42822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50FC0300" w14:textId="77777777" w:rsidR="00743373" w:rsidRDefault="00743373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6F0BE885" w14:textId="77777777" w:rsidR="00743373" w:rsidRDefault="00743373">
            <w:pPr>
              <w:rPr>
                <w:rFonts w:ascii="Arial" w:eastAsia="Arial" w:hAnsi="Arial" w:cs="Arial"/>
              </w:rPr>
            </w:pPr>
          </w:p>
        </w:tc>
      </w:tr>
      <w:tr w:rsidR="00743373" w14:paraId="7DF9B3AB" w14:textId="77777777">
        <w:trPr>
          <w:trHeight w:val="8958"/>
        </w:trPr>
        <w:tc>
          <w:tcPr>
            <w:tcW w:w="9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476E4" w14:textId="77777777" w:rsidR="00743373" w:rsidRDefault="00743373">
            <w:pPr>
              <w:widowControl w:val="0"/>
              <w:jc w:val="both"/>
              <w:rPr>
                <w:rFonts w:ascii="Arial" w:eastAsia="Arial" w:hAnsi="Arial" w:cs="Arial"/>
              </w:rPr>
            </w:pPr>
          </w:p>
          <w:p w14:paraId="7CB20129" w14:textId="77777777" w:rsidR="00743373" w:rsidRDefault="00000000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Además se recomienda que en la exposición de la teoría se introduzcan los conceptos mediante ejemplos tomados principalmente de las áreas de alimentos, fármacos y bioproductos. Finalmente, se recomienda plantear casos de estudio que permitan el desarrollo de habilidades en el manejo de software relacionado al control de calidad, como hojas de cálculo, software estadístico, etc.</w:t>
            </w:r>
          </w:p>
          <w:p w14:paraId="53E37728" w14:textId="3883B82A" w:rsidR="00743373" w:rsidRDefault="00743373">
            <w:pPr>
              <w:jc w:val="both"/>
              <w:rPr>
                <w:rFonts w:ascii="Arial" w:eastAsia="Arial" w:hAnsi="Arial" w:cs="Arial"/>
              </w:rPr>
            </w:pPr>
          </w:p>
          <w:p w14:paraId="2FCEEDDB" w14:textId="77777777" w:rsidR="007B3CFE" w:rsidRPr="00B341BA" w:rsidRDefault="007B3CFE" w:rsidP="007B3CFE">
            <w:pPr>
              <w:shd w:val="clear" w:color="auto" w:fill="FFFFFF"/>
              <w:jc w:val="both"/>
              <w:rPr>
                <w:color w:val="FF0000"/>
                <w:position w:val="0"/>
                <w:lang w:eastAsia="es-MX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3087C872" w14:textId="77777777" w:rsidR="007B3CFE" w:rsidRDefault="007B3CFE" w:rsidP="007B3CFE">
            <w:pPr>
              <w:shd w:val="clear" w:color="auto" w:fill="FFFFFF"/>
              <w:jc w:val="both"/>
              <w:rPr>
                <w:color w:val="000000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B341BA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</w:t>
            </w:r>
            <w:r>
              <w:rPr>
                <w:rFonts w:ascii="Arial" w:hAnsi="Arial" w:cs="Arial"/>
                <w:color w:val="000000"/>
                <w:lang w:val="es-ES"/>
              </w:rPr>
              <w:t>.</w:t>
            </w:r>
          </w:p>
          <w:p w14:paraId="642187BE" w14:textId="77777777" w:rsidR="007B3CFE" w:rsidRDefault="007B3CFE" w:rsidP="007B3CFE">
            <w:pPr>
              <w:widowControl w:val="0"/>
              <w:jc w:val="both"/>
              <w:rPr>
                <w:rFonts w:ascii="Arial" w:eastAsia="Arial" w:hAnsi="Arial" w:cs="Arial"/>
              </w:rPr>
            </w:pPr>
          </w:p>
          <w:p w14:paraId="303D03FE" w14:textId="77777777" w:rsidR="007B3CFE" w:rsidRDefault="007B3CFE">
            <w:pPr>
              <w:jc w:val="both"/>
              <w:rPr>
                <w:rFonts w:ascii="Arial" w:eastAsia="Arial" w:hAnsi="Arial" w:cs="Arial"/>
              </w:rPr>
            </w:pPr>
          </w:p>
          <w:p w14:paraId="585F1DB6" w14:textId="77777777" w:rsidR="0074337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5403A356" w14:textId="77777777" w:rsidR="00743373" w:rsidRDefault="00743373">
            <w:pPr>
              <w:jc w:val="both"/>
              <w:rPr>
                <w:rFonts w:ascii="Arial" w:eastAsia="Arial" w:hAnsi="Arial" w:cs="Arial"/>
              </w:rPr>
            </w:pPr>
          </w:p>
          <w:p w14:paraId="2A9DFA60" w14:textId="77777777" w:rsidR="00743373" w:rsidRDefault="0000000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099B1071" w14:textId="77777777" w:rsidR="00743373" w:rsidRDefault="00743373">
            <w:pPr>
              <w:widowControl w:val="0"/>
              <w:rPr>
                <w:rFonts w:ascii="Arial" w:eastAsia="Arial" w:hAnsi="Arial" w:cs="Arial"/>
              </w:rPr>
            </w:pPr>
          </w:p>
          <w:p w14:paraId="1CD2712E" w14:textId="77777777" w:rsidR="00743373" w:rsidRDefault="0000000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504CB90B" w14:textId="77777777" w:rsidR="00743373" w:rsidRDefault="00743373">
            <w:pPr>
              <w:widowControl w:val="0"/>
              <w:rPr>
                <w:rFonts w:ascii="Arial" w:eastAsia="Arial" w:hAnsi="Arial" w:cs="Arial"/>
              </w:rPr>
            </w:pPr>
          </w:p>
          <w:p w14:paraId="2A63B1D7" w14:textId="77777777" w:rsidR="00743373" w:rsidRDefault="00000000">
            <w:pPr>
              <w:widowControl w:val="0"/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4DAA4C96" w14:textId="77777777" w:rsidR="00743373" w:rsidRDefault="00000000">
            <w:pPr>
              <w:widowControl w:val="0"/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1948FB46" w14:textId="77777777" w:rsidR="00743373" w:rsidRDefault="00000000">
            <w:pPr>
              <w:widowControl w:val="0"/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 y por equipo.</w:t>
            </w:r>
          </w:p>
          <w:p w14:paraId="1FDC6BAC" w14:textId="77777777" w:rsidR="00743373" w:rsidRDefault="00000000">
            <w:pPr>
              <w:widowControl w:val="0"/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661B64A6" w14:textId="77777777" w:rsidR="00743373" w:rsidRDefault="00000000">
            <w:pPr>
              <w:widowControl w:val="0"/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escritos.</w:t>
            </w:r>
          </w:p>
          <w:p w14:paraId="43F112DD" w14:textId="77777777" w:rsidR="00743373" w:rsidRDefault="00000000">
            <w:pPr>
              <w:widowControl w:val="0"/>
              <w:numPr>
                <w:ilvl w:val="0"/>
                <w:numId w:val="3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Elaboración de proyectos.</w:t>
            </w:r>
          </w:p>
          <w:p w14:paraId="126D8AF8" w14:textId="77777777" w:rsidR="00743373" w:rsidRDefault="00743373">
            <w:pPr>
              <w:widowControl w:val="0"/>
              <w:ind w:left="360" w:firstLine="0"/>
              <w:rPr>
                <w:rFonts w:ascii="Arial" w:eastAsia="Arial" w:hAnsi="Arial" w:cs="Arial"/>
              </w:rPr>
            </w:pPr>
          </w:p>
          <w:p w14:paraId="0F79080A" w14:textId="77777777" w:rsidR="0074337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31362719" w14:textId="77777777" w:rsidR="00743373" w:rsidRDefault="00743373">
            <w:pPr>
              <w:jc w:val="both"/>
              <w:rPr>
                <w:rFonts w:ascii="Arial" w:eastAsia="Arial" w:hAnsi="Arial" w:cs="Arial"/>
              </w:rPr>
            </w:pPr>
          </w:p>
          <w:p w14:paraId="0586BE28" w14:textId="77777777" w:rsidR="00743373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que contemple todos los contenidos de la UEA.</w:t>
            </w:r>
          </w:p>
          <w:p w14:paraId="1D39B05E" w14:textId="77777777" w:rsidR="00743373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se requiere inscripción previa a la UEA.</w:t>
            </w:r>
          </w:p>
          <w:p w14:paraId="492FC397" w14:textId="77777777" w:rsidR="00743373" w:rsidRDefault="00743373">
            <w:pPr>
              <w:jc w:val="both"/>
              <w:rPr>
                <w:rFonts w:ascii="Arial" w:eastAsia="Arial" w:hAnsi="Arial" w:cs="Arial"/>
              </w:rPr>
            </w:pPr>
          </w:p>
          <w:p w14:paraId="486F4F99" w14:textId="77777777" w:rsidR="0074337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714D6EF4" w14:textId="77777777" w:rsidR="00743373" w:rsidRDefault="00743373">
            <w:pPr>
              <w:jc w:val="both"/>
              <w:rPr>
                <w:rFonts w:ascii="Arial" w:eastAsia="Arial" w:hAnsi="Arial" w:cs="Arial"/>
              </w:rPr>
            </w:pPr>
          </w:p>
          <w:p w14:paraId="42A686B1" w14:textId="77777777" w:rsidR="0074337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Besterfield, D. Control de calidad. México D.F. Prentice Hall Hispanoamericana S.A. 1995.</w:t>
            </w:r>
          </w:p>
          <w:p w14:paraId="098A1E7A" w14:textId="77777777" w:rsidR="0074337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Ishikawa, K. ¿Qué es el control total de calidad? La modalidad japonesa. Bogotá. Ed. Norma S.A. 1986.</w:t>
            </w:r>
          </w:p>
          <w:p w14:paraId="12BFF08F" w14:textId="77777777" w:rsidR="00743373" w:rsidRPr="007B3CFE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7B3CFE">
              <w:rPr>
                <w:rFonts w:ascii="Arial" w:eastAsia="Arial" w:hAnsi="Arial" w:cs="Arial"/>
                <w:color w:val="000000"/>
                <w:lang w:val="en-US"/>
              </w:rPr>
              <w:t xml:space="preserve">Montgomery, D.C. Introduction to statistical quality control. 6th edition. USA John Wiley &amp; Sons, Inc. 2008. </w:t>
            </w:r>
          </w:p>
          <w:p w14:paraId="687C674D" w14:textId="77777777" w:rsidR="0074337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7B3CFE">
              <w:rPr>
                <w:rFonts w:ascii="Arial" w:eastAsia="Arial" w:hAnsi="Arial" w:cs="Arial"/>
                <w:color w:val="000000"/>
                <w:lang w:val="en-US"/>
              </w:rPr>
              <w:t xml:space="preserve">Sower, V. E. Essentials of quality with cases and experiential exercises. </w:t>
            </w:r>
            <w:r>
              <w:rPr>
                <w:rFonts w:ascii="Arial" w:eastAsia="Arial" w:hAnsi="Arial" w:cs="Arial"/>
                <w:color w:val="000000"/>
              </w:rPr>
              <w:t>USA. John Wiley and Sons. 2010.</w:t>
            </w:r>
          </w:p>
          <w:p w14:paraId="0793EE83" w14:textId="77777777" w:rsidR="0074337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7B3CFE">
              <w:rPr>
                <w:rFonts w:ascii="Arial" w:eastAsia="Arial" w:hAnsi="Arial" w:cs="Arial"/>
                <w:color w:val="000000"/>
                <w:lang w:val="en-US"/>
              </w:rPr>
              <w:t>Pekar</w:t>
            </w:r>
            <w:proofErr w:type="spellEnd"/>
            <w:r w:rsidRPr="007B3CFE">
              <w:rPr>
                <w:rFonts w:ascii="Arial" w:eastAsia="Arial" w:hAnsi="Arial" w:cs="Arial"/>
                <w:color w:val="000000"/>
                <w:lang w:val="en-US"/>
              </w:rPr>
              <w:t xml:space="preserve">, J. P. Total quality management: guiding principles for application. </w:t>
            </w:r>
            <w:r>
              <w:rPr>
                <w:rFonts w:ascii="Arial" w:eastAsia="Arial" w:hAnsi="Arial" w:cs="Arial"/>
                <w:color w:val="000000"/>
              </w:rPr>
              <w:t xml:space="preserve">USA. ASTM Manual Series: MNL 22. 1995. </w:t>
            </w:r>
          </w:p>
          <w:p w14:paraId="5131BC87" w14:textId="77777777" w:rsidR="0074337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7B3CFE">
              <w:rPr>
                <w:rFonts w:ascii="Arial" w:eastAsia="Arial" w:hAnsi="Arial" w:cs="Arial"/>
                <w:color w:val="000000"/>
                <w:lang w:val="en-US"/>
              </w:rPr>
              <w:t xml:space="preserve">Rathore, A. S. and Mhatre, R. Quality by design for biopharmaceuticals. </w:t>
            </w:r>
            <w:r>
              <w:rPr>
                <w:rFonts w:ascii="Arial" w:eastAsia="Arial" w:hAnsi="Arial" w:cs="Arial"/>
                <w:color w:val="000000"/>
              </w:rPr>
              <w:t>USA. John Wiley and Sons, Inc. 2009.</w:t>
            </w:r>
          </w:p>
          <w:p w14:paraId="7C1A75EF" w14:textId="77777777" w:rsidR="0074337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Normas oficiales mexicanas aplicables a la regulación sanitaria, comercialización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 xml:space="preserve"> producción de medicamentos (convencionales y biológicos) y alimentos.</w:t>
            </w:r>
          </w:p>
          <w:p w14:paraId="1E2B4B6F" w14:textId="77777777" w:rsidR="00743373" w:rsidRDefault="00743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6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6F6E98DC" w14:textId="77777777" w:rsidR="00743373" w:rsidRDefault="00743373">
      <w:pPr>
        <w:rPr>
          <w:rFonts w:ascii="Arial" w:eastAsia="Arial" w:hAnsi="Arial" w:cs="Arial"/>
        </w:rPr>
      </w:pPr>
    </w:p>
    <w:sectPr w:rsidR="00743373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2381E"/>
    <w:multiLevelType w:val="multilevel"/>
    <w:tmpl w:val="1A46651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550566CB"/>
    <w:multiLevelType w:val="multilevel"/>
    <w:tmpl w:val="71F41898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575238F4"/>
    <w:multiLevelType w:val="multilevel"/>
    <w:tmpl w:val="4414209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5C28361F"/>
    <w:multiLevelType w:val="multilevel"/>
    <w:tmpl w:val="17BE549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9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6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1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8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5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96" w:hanging="180"/>
      </w:pPr>
      <w:rPr>
        <w:vertAlign w:val="baseline"/>
      </w:rPr>
    </w:lvl>
  </w:abstractNum>
  <w:abstractNum w:abstractNumId="4" w15:restartNumberingAfterBreak="0">
    <w:nsid w:val="784F34BD"/>
    <w:multiLevelType w:val="multilevel"/>
    <w:tmpl w:val="FA40FBEA"/>
    <w:lvl w:ilvl="0">
      <w:start w:val="1"/>
      <w:numFmt w:val="bullet"/>
      <w:pStyle w:val="Estilo5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 w16cid:durableId="947004594">
    <w:abstractNumId w:val="4"/>
  </w:num>
  <w:num w:numId="2" w16cid:durableId="1627464852">
    <w:abstractNumId w:val="3"/>
  </w:num>
  <w:num w:numId="3" w16cid:durableId="562519896">
    <w:abstractNumId w:val="1"/>
  </w:num>
  <w:num w:numId="4" w16cid:durableId="1092628721">
    <w:abstractNumId w:val="0"/>
  </w:num>
  <w:num w:numId="5" w16cid:durableId="1823502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373"/>
    <w:rsid w:val="00743373"/>
    <w:rsid w:val="007B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7A0600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s-MX" w:eastAsia="es-ES"/>
    </w:rPr>
  </w:style>
  <w:style w:type="paragraph" w:styleId="Ttulo1">
    <w:name w:val="heading 1"/>
    <w:basedOn w:val="Normal"/>
    <w:next w:val="Normal"/>
    <w:uiPriority w:val="9"/>
    <w:qFormat/>
    <w:pPr>
      <w:keepNext/>
      <w:jc w:val="center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rPr>
      <w:lang w:val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pPr>
      <w:jc w:val="both"/>
    </w:pPr>
    <w:rPr>
      <w:sz w:val="24"/>
      <w:szCs w:val="24"/>
      <w:lang w:val="es-ES"/>
    </w:rPr>
  </w:style>
  <w:style w:type="paragraph" w:customStyle="1" w:styleId="Estilo5">
    <w:name w:val="Estilo5"/>
    <w:basedOn w:val="Normal"/>
    <w:pPr>
      <w:numPr>
        <w:numId w:val="1"/>
      </w:numPr>
      <w:ind w:left="-1" w:hanging="1"/>
      <w:jc w:val="both"/>
    </w:pPr>
    <w:rPr>
      <w:rFonts w:ascii="Arial" w:hAnsi="Arial"/>
      <w:bCs/>
    </w:rPr>
  </w:style>
  <w:style w:type="paragraph" w:customStyle="1" w:styleId="Estilo1">
    <w:name w:val="Estilo1"/>
    <w:basedOn w:val="Normal"/>
    <w:pPr>
      <w:tabs>
        <w:tab w:val="left" w:pos="1586"/>
      </w:tabs>
      <w:spacing w:before="120" w:after="120"/>
      <w:jc w:val="both"/>
    </w:pPr>
    <w:rPr>
      <w:rFonts w:ascii="Arial" w:hAnsi="Arial" w:cs="Arial"/>
    </w:rPr>
  </w:style>
  <w:style w:type="paragraph" w:customStyle="1" w:styleId="Sinespaciado1">
    <w:name w:val="Sin espaciado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s-MX" w:eastAsia="es-ES"/>
    </w:rPr>
  </w:style>
  <w:style w:type="paragraph" w:customStyle="1" w:styleId="Cuadrculaclara-nfasis31">
    <w:name w:val="Cuadrícula clara - Énfasis 31"/>
    <w:basedOn w:val="Normal"/>
    <w:pPr>
      <w:ind w:left="708"/>
    </w:pPr>
  </w:style>
  <w:style w:type="paragraph" w:customStyle="1" w:styleId="Estilo2">
    <w:name w:val="Estilo2"/>
    <w:basedOn w:val="Normal"/>
    <w:pPr>
      <w:spacing w:before="120"/>
      <w:jc w:val="center"/>
    </w:pPr>
    <w:rPr>
      <w:rFonts w:ascii="Arial" w:hAnsi="Arial"/>
      <w:b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7B3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9yYh+lXNIK7UWTm32TK0oSKqFQ==">AMUW2mW6bB0ws/3G3EoN+PGKzlCuFE0xrLHd621a0y1wgcm/be/cBUWUiqSMTqbhxa6x1rBDBEv1QW8954nnwSPJQKCsYTPbv7y1mNG4Yhyoh7wZ8vc66bSNYcfMQkGsjRFIR0MT9zN6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683</Words>
  <Characters>3757</Characters>
  <Application>Microsoft Office Word</Application>
  <DocSecurity>0</DocSecurity>
  <Lines>31</Lines>
  <Paragraphs>8</Paragraphs>
  <ScaleCrop>false</ScaleCrop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2016-01-08T22:56:00Z</dcterms:created>
  <dcterms:modified xsi:type="dcterms:W3CDTF">2022-10-21T19:47:00Z</dcterms:modified>
</cp:coreProperties>
</file>